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D18" w14:textId="443FCA1F" w:rsidR="001B78FE" w:rsidRDefault="00A72741" w:rsidP="00277804">
      <w:pPr>
        <w:spacing w:after="0"/>
        <w:jc w:val="center"/>
      </w:pPr>
      <w:r>
        <w:rPr>
          <w:noProof/>
        </w:rPr>
        <w:drawing>
          <wp:inline distT="0" distB="0" distL="0" distR="0" wp14:anchorId="227AC663" wp14:editId="0D53772D">
            <wp:extent cx="5943179" cy="1966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0"/>
                    <a:stretch/>
                  </pic:blipFill>
                  <pic:spPr bwMode="auto">
                    <a:xfrm>
                      <a:off x="0" y="0"/>
                      <a:ext cx="5943600" cy="196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3D22BB" w14:textId="17321B86" w:rsidR="000038C9" w:rsidRPr="00DD386D" w:rsidRDefault="00163EF1" w:rsidP="00277804">
      <w:pPr>
        <w:pStyle w:val="FiguresandAMBestSource"/>
        <w:spacing w:before="0"/>
        <w:rPr>
          <w:rStyle w:val="SubtleEmphasis"/>
          <w:i w:val="0"/>
          <w:iCs w:val="0"/>
          <w:color w:val="auto"/>
        </w:rPr>
      </w:pPr>
      <w:r w:rsidRPr="00DD386D">
        <w:rPr>
          <w:rStyle w:val="SubtleEmphasis"/>
          <w:i w:val="0"/>
          <w:iCs w:val="0"/>
          <w:color w:val="auto"/>
        </w:rPr>
        <w:t>Figure 1</w:t>
      </w:r>
      <w:r w:rsidRPr="00DD386D">
        <w:rPr>
          <w:rStyle w:val="SubtleEmphasis"/>
          <w:i w:val="0"/>
          <w:iCs w:val="0"/>
          <w:color w:val="auto"/>
        </w:rPr>
        <w:br/>
      </w:r>
      <w:r w:rsidR="003F36BF" w:rsidRPr="00DD386D">
        <w:rPr>
          <w:rStyle w:val="SubtleEmphasis"/>
          <w:i w:val="0"/>
          <w:iCs w:val="0"/>
          <w:color w:val="auto"/>
        </w:rPr>
        <w:t>Source: © A.M. Best Company — Used by Permission</w:t>
      </w:r>
    </w:p>
    <w:p w14:paraId="1FD90E1D" w14:textId="269AFC18" w:rsidR="00264AFD" w:rsidRDefault="003923B0" w:rsidP="001F3D58">
      <w:r>
        <w:t xml:space="preserve">You are being provided </w:t>
      </w:r>
      <w:r w:rsidRPr="001F3D58">
        <w:t xml:space="preserve">this </w:t>
      </w:r>
      <w:r w:rsidR="00006B17">
        <w:rPr>
          <w:b/>
          <w:bCs/>
          <w:i/>
          <w:iCs/>
        </w:rPr>
        <w:t>Nebraska</w:t>
      </w:r>
      <w:r w:rsidR="00C97C48">
        <w:rPr>
          <w:b/>
          <w:bCs/>
          <w:i/>
          <w:iCs/>
        </w:rPr>
        <w:t xml:space="preserve"> 2022 Quarterly P-C Premium Summary</w:t>
      </w:r>
      <w:r w:rsidR="00AC1A66">
        <w:rPr>
          <w:b/>
          <w:bCs/>
          <w:i/>
          <w:iCs/>
        </w:rPr>
        <w:t xml:space="preserve"> – </w:t>
      </w:r>
      <w:r w:rsidR="000B3352" w:rsidRPr="00D91DD5">
        <w:rPr>
          <w:b/>
          <w:bCs/>
          <w:i/>
          <w:iCs/>
        </w:rPr>
        <w:t>Q1</w:t>
      </w:r>
      <w:r>
        <w:t xml:space="preserve"> as a benefit of your membership in the </w:t>
      </w:r>
      <w:r w:rsidR="00006B17">
        <w:t xml:space="preserve">Independent Insurance </w:t>
      </w:r>
      <w:r w:rsidR="00264AFD" w:rsidRPr="00742521">
        <w:t>Agents</w:t>
      </w:r>
      <w:r w:rsidR="00006B17">
        <w:t xml:space="preserve"> of Nebraska</w:t>
      </w:r>
      <w:r>
        <w:t xml:space="preserve">.  </w:t>
      </w:r>
      <w:bookmarkStart w:id="0" w:name="_Hlk106872685"/>
      <w:r w:rsidR="002829C0">
        <w:t xml:space="preserve">Quarterly premium data reveals trends to give you, as members, a more “real time” sense of market conditions.  This quarterly Summary is intended as a compliment/update to the annual </w:t>
      </w:r>
      <w:r w:rsidR="002829C0" w:rsidRPr="00742521">
        <w:rPr>
          <w:b/>
          <w:bCs/>
          <w:i/>
          <w:iCs/>
        </w:rPr>
        <w:t xml:space="preserve">2021 </w:t>
      </w:r>
      <w:r w:rsidR="002829C0">
        <w:rPr>
          <w:b/>
          <w:bCs/>
          <w:i/>
          <w:iCs/>
        </w:rPr>
        <w:t>Nebraska</w:t>
      </w:r>
      <w:r w:rsidR="002829C0" w:rsidRPr="00742521">
        <w:rPr>
          <w:b/>
          <w:bCs/>
          <w:i/>
          <w:iCs/>
        </w:rPr>
        <w:t xml:space="preserve"> P-C Marketplace Summary</w:t>
      </w:r>
      <w:r w:rsidR="002829C0">
        <w:rPr>
          <w:b/>
          <w:bCs/>
          <w:i/>
          <w:iCs/>
        </w:rPr>
        <w:t>.</w:t>
      </w:r>
      <w:r w:rsidR="002829C0">
        <w:t xml:space="preserve">  This quarterly </w:t>
      </w:r>
      <w:r w:rsidR="007E229B">
        <w:t>S</w:t>
      </w:r>
      <w:r w:rsidR="002829C0">
        <w:t xml:space="preserve">ummary is </w:t>
      </w:r>
      <w:r w:rsidR="002829C0" w:rsidRPr="001F3D58">
        <w:t xml:space="preserve">focused on </w:t>
      </w:r>
      <w:r w:rsidR="002829C0" w:rsidRPr="001A41B8">
        <w:rPr>
          <w:u w:val="single"/>
        </w:rPr>
        <w:t>premium trends only</w:t>
      </w:r>
      <w:r w:rsidR="002829C0" w:rsidRPr="001F3D58">
        <w:t>.</w:t>
      </w:r>
      <w:r w:rsidR="002829C0">
        <w:t xml:space="preserve">  And, as with the annual Summary, the quarterly Summary uses </w:t>
      </w:r>
      <w:r w:rsidR="002829C0" w:rsidRPr="00303EF5">
        <w:t>direct</w:t>
      </w:r>
      <w:r w:rsidR="002829C0">
        <w:t xml:space="preserve"> premiums, </w:t>
      </w:r>
      <w:r w:rsidR="002829C0">
        <w:rPr>
          <w:u w:val="single"/>
        </w:rPr>
        <w:t>before</w:t>
      </w:r>
      <w:r w:rsidR="002829C0">
        <w:t xml:space="preserve"> reinsurance.</w:t>
      </w:r>
      <w:bookmarkEnd w:id="0"/>
    </w:p>
    <w:p w14:paraId="21F616A1" w14:textId="5883ECF1" w:rsidR="003923B0" w:rsidRDefault="007A0407" w:rsidP="003923B0">
      <w:r>
        <w:t>Below are the highlights from the most recent quarterly data.</w:t>
      </w:r>
    </w:p>
    <w:p w14:paraId="5073FF99" w14:textId="46B6CEEC" w:rsidR="00543F16" w:rsidRPr="002E5DE4" w:rsidRDefault="00543F16" w:rsidP="00543F16">
      <w:pPr>
        <w:pStyle w:val="ListParagraph"/>
        <w:numPr>
          <w:ilvl w:val="0"/>
          <w:numId w:val="15"/>
        </w:numPr>
      </w:pPr>
      <w:r w:rsidRPr="002E5DE4">
        <w:t xml:space="preserve">Premiums in </w:t>
      </w:r>
      <w:r>
        <w:t>Nebraska</w:t>
      </w:r>
      <w:r w:rsidRPr="002E5DE4">
        <w:t xml:space="preserve"> are growing faster than the United States</w:t>
      </w:r>
      <w:r>
        <w:t xml:space="preserve"> in the short-term (2021 Q1 vs. 2022 Q1), medium-term (rolling 12-months)</w:t>
      </w:r>
      <w:r w:rsidR="00C82789">
        <w:t>,</w:t>
      </w:r>
      <w:r>
        <w:t xml:space="preserve"> and long-term (4 years).</w:t>
      </w:r>
    </w:p>
    <w:p w14:paraId="6AA5D7A4" w14:textId="075C1153" w:rsidR="00543F16" w:rsidRPr="002E5DE4" w:rsidRDefault="00543F16" w:rsidP="00543F16">
      <w:pPr>
        <w:pStyle w:val="ListParagraph"/>
        <w:numPr>
          <w:ilvl w:val="0"/>
          <w:numId w:val="15"/>
        </w:numPr>
      </w:pPr>
      <w:r w:rsidRPr="002E5DE4">
        <w:t xml:space="preserve">Surplus lines </w:t>
      </w:r>
      <w:r>
        <w:t xml:space="preserve">growth rates in </w:t>
      </w:r>
      <w:r>
        <w:t>Nebraska</w:t>
      </w:r>
      <w:r>
        <w:t xml:space="preserve"> are </w:t>
      </w:r>
      <w:r w:rsidR="00B25F41">
        <w:t xml:space="preserve">lower </w:t>
      </w:r>
      <w:r>
        <w:t xml:space="preserve">than the United States average in the short-, medium-, and long-term.  </w:t>
      </w:r>
      <w:r w:rsidR="00B25F41">
        <w:t>However, t</w:t>
      </w:r>
      <w:r>
        <w:t>he surplus lines growth rates exceed the all lines average growth rate in</w:t>
      </w:r>
      <w:r>
        <w:t xml:space="preserve"> Nebraska</w:t>
      </w:r>
      <w:r>
        <w:t>.</w:t>
      </w:r>
    </w:p>
    <w:p w14:paraId="38887CAB" w14:textId="552E623E" w:rsidR="00364553" w:rsidRPr="002E5DE4" w:rsidRDefault="00364553" w:rsidP="002E5DE4">
      <w:pPr>
        <w:pStyle w:val="ListParagraph"/>
        <w:numPr>
          <w:ilvl w:val="0"/>
          <w:numId w:val="15"/>
        </w:numPr>
      </w:pPr>
      <w:r w:rsidRPr="002E5DE4">
        <w:t xml:space="preserve">One trend is clear from the recent </w:t>
      </w:r>
      <w:r w:rsidR="002B5B8E" w:rsidRPr="002E5DE4">
        <w:t>premium</w:t>
      </w:r>
      <w:r w:rsidRPr="002E5DE4">
        <w:t xml:space="preserve"> data and that is that insurers distributing through Independent Agents are growing premiums faster than those </w:t>
      </w:r>
      <w:r w:rsidR="009173D5">
        <w:t xml:space="preserve">insurers </w:t>
      </w:r>
      <w:r w:rsidRPr="002E5DE4">
        <w:t>focused on Direct or Exclusive-Captive distribution styles.</w:t>
      </w:r>
    </w:p>
    <w:p w14:paraId="31759445" w14:textId="74D6A8D7" w:rsidR="002829C0" w:rsidRPr="002E5DE4" w:rsidRDefault="002829C0" w:rsidP="002829C0">
      <w:pPr>
        <w:pStyle w:val="ListParagraph"/>
        <w:numPr>
          <w:ilvl w:val="0"/>
          <w:numId w:val="15"/>
        </w:numPr>
      </w:pPr>
      <w:bookmarkStart w:id="1" w:name="_Hlk106785531"/>
      <w:r w:rsidRPr="001F3D58">
        <w:t>When looking at lists of the top 50 insurers</w:t>
      </w:r>
      <w:r>
        <w:t xml:space="preserve"> in </w:t>
      </w:r>
      <w:r>
        <w:t>Nebraska</w:t>
      </w:r>
      <w:r w:rsidRPr="001F3D58">
        <w:t xml:space="preserve">, </w:t>
      </w:r>
      <w:r>
        <w:t xml:space="preserve">the largest premium insurer is </w:t>
      </w:r>
      <w:r w:rsidRPr="002829C0">
        <w:t>Farmers Mutual Insurance Co of Nebraska</w:t>
      </w:r>
      <w:r>
        <w:t xml:space="preserve">.  The fastest growing insurer is </w:t>
      </w:r>
      <w:r w:rsidRPr="002829C0">
        <w:t>Century Surety Company</w:t>
      </w:r>
      <w:r>
        <w:t xml:space="preserve"> (</w:t>
      </w:r>
      <w:proofErr w:type="spellStart"/>
      <w:r w:rsidRPr="002829C0">
        <w:t>AmeriTrust</w:t>
      </w:r>
      <w:proofErr w:type="spellEnd"/>
      <w:r w:rsidRPr="002829C0">
        <w:t xml:space="preserve"> Group</w:t>
      </w:r>
      <w:r>
        <w:t xml:space="preserve">).  </w:t>
      </w:r>
      <w:r w:rsidR="00277804">
        <w:t>Four</w:t>
      </w:r>
      <w:r>
        <w:t xml:space="preserve"> insurers make </w:t>
      </w:r>
      <w:r w:rsidRPr="00E66518">
        <w:rPr>
          <w:u w:val="single"/>
        </w:rPr>
        <w:t>both</w:t>
      </w:r>
      <w:r>
        <w:t xml:space="preserve"> the largest premium and the fastest growing lists.  Sixty percent (60%) of the largest insurers, and 90% of the fastest growing, use Independent Agent distribution.  In </w:t>
      </w:r>
      <w:r>
        <w:t>Nebraska</w:t>
      </w:r>
      <w:r>
        <w:t xml:space="preserve">, for the largest premium insurers, Private Passenger Auto is the line of business with the most premiums for those insurers.  For the fastest-growing insurers, it is </w:t>
      </w:r>
      <w:r w:rsidR="00277804">
        <w:t>Other Liability (Occurrence)</w:t>
      </w:r>
      <w:r>
        <w:t>.</w:t>
      </w:r>
    </w:p>
    <w:bookmarkEnd w:id="1"/>
    <w:p w14:paraId="1FA4852C" w14:textId="011E2B79" w:rsidR="002641A8" w:rsidRPr="002E5DE4" w:rsidRDefault="002641A8" w:rsidP="002641A8">
      <w:pPr>
        <w:pStyle w:val="ListParagraph"/>
        <w:numPr>
          <w:ilvl w:val="0"/>
          <w:numId w:val="15"/>
        </w:numPr>
      </w:pPr>
      <w:r w:rsidRPr="001F3D58">
        <w:t xml:space="preserve">The line of business growing the fastest </w:t>
      </w:r>
      <w:r>
        <w:t xml:space="preserve">in the United States </w:t>
      </w:r>
      <w:r w:rsidRPr="001F3D58">
        <w:t xml:space="preserve">in the most recent quarter is Burglary &amp; Theft, the premiums of which grew at 24% </w:t>
      </w:r>
      <w:r w:rsidR="007E229B">
        <w:t>in</w:t>
      </w:r>
      <w:r w:rsidR="007E229B" w:rsidRPr="001F3D58">
        <w:t xml:space="preserve"> 2021 </w:t>
      </w:r>
      <w:r w:rsidR="007E229B">
        <w:t>Q1 vs.</w:t>
      </w:r>
      <w:r w:rsidR="007E229B" w:rsidRPr="001F3D58">
        <w:t xml:space="preserve"> 2022</w:t>
      </w:r>
      <w:r w:rsidR="007E229B">
        <w:t xml:space="preserve"> Q1</w:t>
      </w:r>
      <w:r w:rsidRPr="001F3D58">
        <w:t xml:space="preserve">.  Other lines where premiums are growing quickly are All Auto, E.C. </w:t>
      </w:r>
      <w:proofErr w:type="spellStart"/>
      <w:r w:rsidRPr="001F3D58">
        <w:t>Perils+Flood+Crop</w:t>
      </w:r>
      <w:proofErr w:type="spellEnd"/>
      <w:r w:rsidRPr="001F3D58">
        <w:t xml:space="preserve"> (the combination of </w:t>
      </w:r>
      <w:bookmarkStart w:id="2" w:name="_Hlk106872495"/>
      <w:r w:rsidRPr="001F3D58">
        <w:t>line of business), and Other Liability (Claims-made).</w:t>
      </w:r>
    </w:p>
    <w:p w14:paraId="0595B112" w14:textId="15FCE274" w:rsidR="002641A8" w:rsidRDefault="002641A8" w:rsidP="002641A8">
      <w:bookmarkStart w:id="3" w:name="_Hlk106871274"/>
      <w:r w:rsidRPr="006B55F7">
        <w:t xml:space="preserve">More information on these highlights follows in this quarterly Summary.  Data on premiums in </w:t>
      </w:r>
      <w:r>
        <w:t>Nebraska</w:t>
      </w:r>
      <w:r w:rsidRPr="006B55F7">
        <w:t xml:space="preserve"> by distribution style and regulatory regime, </w:t>
      </w:r>
      <w:proofErr w:type="gramStart"/>
      <w:r w:rsidRPr="006B55F7">
        <w:t>and also</w:t>
      </w:r>
      <w:proofErr w:type="gramEnd"/>
      <w:r w:rsidRPr="006B55F7">
        <w:t xml:space="preserve"> lists of the top 50 insurers are provided.  United States line of business data is included as well.  </w:t>
      </w:r>
      <w:r w:rsidR="007E229B" w:rsidRPr="006B55F7">
        <w:t xml:space="preserve">Premium dollars are presented graphically with quarterly trends visible, and growth percentages </w:t>
      </w:r>
      <w:r w:rsidR="007E229B">
        <w:t>shown in tables.</w:t>
      </w:r>
      <w:r w:rsidR="007E229B">
        <w:t xml:space="preserve">  </w:t>
      </w:r>
      <w:r w:rsidRPr="006B55F7">
        <w:t>Appendix #1 and Appendix #2 show how short-, medium-, and long-term percentages are calculated, and explain important differences and similarities between the annual Summary and this quarterly Summary.</w:t>
      </w:r>
    </w:p>
    <w:bookmarkEnd w:id="2"/>
    <w:bookmarkEnd w:id="3"/>
    <w:p w14:paraId="3D02B748" w14:textId="16E04718" w:rsidR="002F4231" w:rsidRPr="00FB1207" w:rsidRDefault="00006B17" w:rsidP="00FB1207">
      <w:pPr>
        <w:pStyle w:val="Heading1-NoCollasping"/>
      </w:pPr>
      <w:r>
        <w:lastRenderedPageBreak/>
        <w:t>Nebraska</w:t>
      </w:r>
      <w:r w:rsidR="002F4231" w:rsidRPr="00FB1207">
        <w:t xml:space="preserve"> Quarterly Premiums vs. The United States</w:t>
      </w:r>
    </w:p>
    <w:p w14:paraId="2C3E1F39" w14:textId="34F75390" w:rsidR="002F4231" w:rsidRDefault="002F4231" w:rsidP="002F4231">
      <w:pPr>
        <w:pStyle w:val="Graphics-Two-by-Tw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8C2CFB" w:rsidRPr="00DB1636" w14:paraId="048417D1" w14:textId="77777777" w:rsidTr="004B4647">
        <w:tc>
          <w:tcPr>
            <w:tcW w:w="4680" w:type="dxa"/>
          </w:tcPr>
          <w:p w14:paraId="116DEB71" w14:textId="46A59106" w:rsidR="008C2CFB" w:rsidRDefault="005F46C5" w:rsidP="004B4647">
            <w:pPr>
              <w:pStyle w:val="DataTable3x3by2wid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5036A89" wp14:editId="4CA9EF39">
                  <wp:extent cx="2743200" cy="183196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31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40EDF95C" w14:textId="277A438E" w:rsidR="008C2CFB" w:rsidRDefault="000A73D4" w:rsidP="004B4647">
            <w:pPr>
              <w:pStyle w:val="DataTable3x3by2wid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0A8653C" wp14:editId="0E8A6E52">
                  <wp:extent cx="2743200" cy="1790674"/>
                  <wp:effectExtent l="0" t="0" r="0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90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B6F" w:rsidRPr="00DB1636" w14:paraId="1BD9994B" w14:textId="77777777" w:rsidTr="004B4647">
        <w:tc>
          <w:tcPr>
            <w:tcW w:w="4680" w:type="dxa"/>
          </w:tcPr>
          <w:p w14:paraId="47C1DAA3" w14:textId="354A1D33" w:rsidR="00B50B6F" w:rsidRDefault="00B50B6F" w:rsidP="00B50B6F">
            <w:pPr>
              <w:pStyle w:val="DataTable3x3by2wid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2</w:t>
            </w:r>
          </w:p>
        </w:tc>
        <w:tc>
          <w:tcPr>
            <w:tcW w:w="4680" w:type="dxa"/>
          </w:tcPr>
          <w:p w14:paraId="72ED7CCC" w14:textId="774F0471" w:rsidR="00B50B6F" w:rsidRDefault="00B50B6F" w:rsidP="00B50B6F">
            <w:pPr>
              <w:pStyle w:val="DataTable3x3by2wid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3</w:t>
            </w:r>
          </w:p>
        </w:tc>
      </w:tr>
      <w:tr w:rsidR="00B50B6F" w:rsidRPr="00DB1636" w14:paraId="1323207A" w14:textId="77777777" w:rsidTr="004B4647">
        <w:tc>
          <w:tcPr>
            <w:tcW w:w="4680" w:type="dxa"/>
          </w:tcPr>
          <w:p w14:paraId="515AFD6C" w14:textId="77777777" w:rsidR="00B50B6F" w:rsidRDefault="00B50B6F" w:rsidP="00B50B6F">
            <w:pPr>
              <w:pStyle w:val="DataTable3x3by2wide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2AB8EB2E" w14:textId="77777777" w:rsidR="00B50B6F" w:rsidRDefault="00B50B6F" w:rsidP="00B50B6F">
            <w:pPr>
              <w:pStyle w:val="DataTable3x3by2wide"/>
              <w:jc w:val="left"/>
              <w:rPr>
                <w:sz w:val="20"/>
                <w:szCs w:val="20"/>
              </w:rPr>
            </w:pPr>
          </w:p>
        </w:tc>
      </w:tr>
      <w:tr w:rsidR="002F4231" w:rsidRPr="00DB1636" w14:paraId="2FD35AD5" w14:textId="77777777" w:rsidTr="004B4647">
        <w:tc>
          <w:tcPr>
            <w:tcW w:w="468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1484"/>
              <w:gridCol w:w="1485"/>
              <w:gridCol w:w="1485"/>
            </w:tblGrid>
            <w:tr w:rsidR="005F46C5" w:rsidRPr="005F46C5" w14:paraId="49EF5253" w14:textId="77777777" w:rsidTr="005F46C5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24110" w14:textId="77777777" w:rsidR="005F46C5" w:rsidRPr="00BA673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BA67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Q1-to-Q1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6E13A" w14:textId="77777777" w:rsidR="005F46C5" w:rsidRPr="00BA673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BA67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B1C74" w14:textId="77777777" w:rsidR="005F46C5" w:rsidRPr="00BA673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BA67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Average</w:t>
                  </w:r>
                </w:p>
              </w:tc>
            </w:tr>
            <w:tr w:rsidR="005F46C5" w:rsidRPr="005F46C5" w14:paraId="58EB0DFA" w14:textId="77777777" w:rsidTr="005F46C5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61F3A" w14:textId="77777777" w:rsidR="005F46C5" w:rsidRPr="00BA673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BA67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14.3%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8F58C" w14:textId="77777777" w:rsidR="005F46C5" w:rsidRPr="00BA673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BA67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12.3%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0D0E8" w14:textId="77777777" w:rsidR="005F46C5" w:rsidRPr="00BA673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BA67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8.8%</w:t>
                  </w:r>
                </w:p>
              </w:tc>
            </w:tr>
            <w:tr w:rsidR="005F46C5" w:rsidRPr="005F46C5" w14:paraId="7FAA331E" w14:textId="77777777" w:rsidTr="005F46C5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84046A" w14:textId="77777777" w:rsidR="005F46C5" w:rsidRPr="00BA673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BA67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2021 Premium: $6,073,080,000</w:t>
                  </w:r>
                </w:p>
              </w:tc>
            </w:tr>
          </w:tbl>
          <w:p w14:paraId="5CB8FF28" w14:textId="77777777" w:rsidR="002F4231" w:rsidRPr="00DB1636" w:rsidRDefault="002F4231" w:rsidP="004B4647">
            <w:pPr>
              <w:pStyle w:val="DataTable3x3by2wide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1484"/>
              <w:gridCol w:w="1485"/>
              <w:gridCol w:w="1485"/>
            </w:tblGrid>
            <w:tr w:rsidR="002F4231" w:rsidRPr="00DB1636" w14:paraId="41FDB9AC" w14:textId="77777777" w:rsidTr="004B4647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18C14" w14:textId="7480FCBF" w:rsidR="002F4231" w:rsidRPr="00DB1636" w:rsidRDefault="00E065D3" w:rsidP="004B4647">
                  <w:pPr>
                    <w:pStyle w:val="DataTable3x3by2wid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Q1</w:t>
                  </w:r>
                  <w:r w:rsidR="002F4231" w:rsidRPr="00DB1636">
                    <w:rPr>
                      <w:sz w:val="20"/>
                      <w:szCs w:val="20"/>
                    </w:rPr>
                    <w:t>-to-</w:t>
                  </w:r>
                  <w:r>
                    <w:rPr>
                      <w:sz w:val="20"/>
                      <w:szCs w:val="20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7C058" w14:textId="77777777" w:rsidR="002F4231" w:rsidRPr="00DB1636" w:rsidRDefault="002F4231" w:rsidP="004B4647">
                  <w:pPr>
                    <w:pStyle w:val="DataTable3x3by2wide"/>
                    <w:rPr>
                      <w:sz w:val="20"/>
                      <w:szCs w:val="20"/>
                    </w:rPr>
                  </w:pPr>
                  <w:r w:rsidRPr="00DB1636">
                    <w:rPr>
                      <w:sz w:val="20"/>
                      <w:szCs w:val="20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ACB14" w14:textId="77777777" w:rsidR="002F4231" w:rsidRPr="00DB1636" w:rsidRDefault="002F4231" w:rsidP="004B4647">
                  <w:pPr>
                    <w:pStyle w:val="DataTable3x3by2wide"/>
                    <w:rPr>
                      <w:sz w:val="20"/>
                      <w:szCs w:val="20"/>
                    </w:rPr>
                  </w:pPr>
                  <w:r w:rsidRPr="00DB1636">
                    <w:rPr>
                      <w:sz w:val="20"/>
                      <w:szCs w:val="20"/>
                    </w:rPr>
                    <w:t>Average</w:t>
                  </w:r>
                </w:p>
              </w:tc>
            </w:tr>
            <w:tr w:rsidR="002F4231" w:rsidRPr="00DB1636" w14:paraId="3AE93F0D" w14:textId="77777777" w:rsidTr="004B4647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8DB8B" w14:textId="77777777" w:rsidR="002F4231" w:rsidRPr="00DB1636" w:rsidRDefault="002F4231" w:rsidP="004B4647">
                  <w:pPr>
                    <w:pStyle w:val="DataTable3x3by2wide"/>
                    <w:rPr>
                      <w:sz w:val="20"/>
                      <w:szCs w:val="20"/>
                    </w:rPr>
                  </w:pPr>
                  <w:r w:rsidRPr="00DB1636">
                    <w:rPr>
                      <w:sz w:val="20"/>
                      <w:szCs w:val="20"/>
                    </w:rPr>
                    <w:t>9.5%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B3817" w14:textId="4506CE27" w:rsidR="002F4231" w:rsidRPr="00DB1636" w:rsidRDefault="000D6316" w:rsidP="004B4647">
                  <w:pPr>
                    <w:pStyle w:val="DataTable3x3by2wid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10.3</w:t>
                  </w:r>
                  <w:r w:rsidR="002F4231" w:rsidRPr="00DB163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3A6F8" w14:textId="17392B83" w:rsidR="002F4231" w:rsidRPr="00DB1636" w:rsidRDefault="002F4231" w:rsidP="004B4647">
                  <w:pPr>
                    <w:pStyle w:val="DataTable3x3by2wide"/>
                    <w:rPr>
                      <w:sz w:val="20"/>
                      <w:szCs w:val="20"/>
                    </w:rPr>
                  </w:pPr>
                  <w:r w:rsidRPr="00DB1636">
                    <w:rPr>
                      <w:sz w:val="20"/>
                      <w:szCs w:val="20"/>
                    </w:rPr>
                    <w:t>5</w:t>
                  </w:r>
                  <w:r w:rsidR="000D6316">
                    <w:rPr>
                      <w:sz w:val="20"/>
                      <w:szCs w:val="20"/>
                    </w:rPr>
                    <w:t>.9</w:t>
                  </w:r>
                  <w:r w:rsidRPr="00DB1636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2F4231" w:rsidRPr="00DB1636" w14:paraId="17841815" w14:textId="77777777" w:rsidTr="004B4647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24B017" w14:textId="77777777" w:rsidR="002F4231" w:rsidRPr="00DB1636" w:rsidRDefault="002F4231" w:rsidP="004B4647">
                  <w:pPr>
                    <w:pStyle w:val="DataTable3x3by2wide"/>
                    <w:rPr>
                      <w:sz w:val="20"/>
                      <w:szCs w:val="20"/>
                    </w:rPr>
                  </w:pPr>
                  <w:r w:rsidRPr="00DB1636">
                    <w:rPr>
                      <w:sz w:val="20"/>
                      <w:szCs w:val="20"/>
                    </w:rPr>
                    <w:t xml:space="preserve">2021 Premium: </w:t>
                  </w:r>
                  <w:r>
                    <w:rPr>
                      <w:sz w:val="20"/>
                      <w:szCs w:val="20"/>
                    </w:rPr>
                    <w:t>$</w:t>
                  </w:r>
                  <w:r w:rsidRPr="00DB1636">
                    <w:rPr>
                      <w:sz w:val="20"/>
                      <w:szCs w:val="20"/>
                    </w:rPr>
                    <w:t>798,164,583,000</w:t>
                  </w:r>
                </w:p>
              </w:tc>
            </w:tr>
          </w:tbl>
          <w:p w14:paraId="419C9A2C" w14:textId="77777777" w:rsidR="002F4231" w:rsidRPr="00DB1636" w:rsidRDefault="002F4231" w:rsidP="004B4647">
            <w:pPr>
              <w:pStyle w:val="DataTable3x3by2wide"/>
              <w:rPr>
                <w:sz w:val="20"/>
                <w:szCs w:val="20"/>
              </w:rPr>
            </w:pPr>
          </w:p>
        </w:tc>
      </w:tr>
      <w:tr w:rsidR="002F4231" w:rsidRPr="00B50B6F" w14:paraId="0A6E6E65" w14:textId="77777777" w:rsidTr="004B4647">
        <w:tc>
          <w:tcPr>
            <w:tcW w:w="4680" w:type="dxa"/>
          </w:tcPr>
          <w:p w14:paraId="5A5076D8" w14:textId="5B917494" w:rsidR="002F4231" w:rsidRPr="00B50B6F" w:rsidRDefault="0027251B" w:rsidP="004B4647">
            <w:pPr>
              <w:pStyle w:val="DataTable3x3by2wid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="002F4231" w:rsidRPr="00B50B6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680" w:type="dxa"/>
          </w:tcPr>
          <w:p w14:paraId="5BEC11A9" w14:textId="0F053483" w:rsidR="002F4231" w:rsidRPr="00B50B6F" w:rsidRDefault="0027251B" w:rsidP="004B4647">
            <w:pPr>
              <w:pStyle w:val="DataTable3x3by2wid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="002F4231" w:rsidRPr="00B50B6F">
              <w:rPr>
                <w:sz w:val="20"/>
                <w:szCs w:val="20"/>
              </w:rPr>
              <w:t xml:space="preserve"> 3</w:t>
            </w:r>
          </w:p>
        </w:tc>
      </w:tr>
    </w:tbl>
    <w:p w14:paraId="498DBEAE" w14:textId="77777777" w:rsidR="002F4231" w:rsidRPr="00DD386D" w:rsidRDefault="002F4231" w:rsidP="002F4231">
      <w:pPr>
        <w:pStyle w:val="FiguresandAMBestSource"/>
        <w:rPr>
          <w:rStyle w:val="SubtleEmphasis"/>
          <w:i w:val="0"/>
          <w:iCs w:val="0"/>
          <w:color w:val="auto"/>
        </w:rPr>
      </w:pPr>
      <w:r w:rsidRPr="00DD386D">
        <w:rPr>
          <w:rStyle w:val="SubtleEmphasis"/>
          <w:i w:val="0"/>
          <w:iCs w:val="0"/>
          <w:color w:val="auto"/>
        </w:rPr>
        <w:t>Source: © A.M. Best Company — used by permission.</w:t>
      </w:r>
    </w:p>
    <w:p w14:paraId="5DD8F692" w14:textId="7B5177A4" w:rsidR="002F4231" w:rsidRPr="002670EC" w:rsidRDefault="00917021" w:rsidP="002F4231">
      <w:pPr>
        <w:pStyle w:val="NotesorCommetns"/>
      </w:pPr>
      <w:r>
        <w:t>Notes:</w:t>
      </w:r>
      <w:r w:rsidR="002F4231" w:rsidRPr="002670EC">
        <w:t xml:space="preserve"> </w:t>
      </w:r>
    </w:p>
    <w:p w14:paraId="67782550" w14:textId="1344B089" w:rsidR="002F4231" w:rsidRDefault="002F4231" w:rsidP="002F4231">
      <w:r>
        <w:t xml:space="preserve">Quarter-to-quarter premium growth trends can be visually observed in Figure 2 </w:t>
      </w:r>
      <w:r w:rsidR="00AC1A66">
        <w:t xml:space="preserve">– </w:t>
      </w:r>
      <w:r w:rsidR="00006B17">
        <w:rPr>
          <w:i/>
          <w:iCs/>
        </w:rPr>
        <w:t>Nebraska</w:t>
      </w:r>
      <w:r w:rsidR="00AC1A66" w:rsidRPr="00AC1A66">
        <w:rPr>
          <w:i/>
          <w:iCs/>
        </w:rPr>
        <w:t xml:space="preserve"> Premium </w:t>
      </w:r>
      <w:r w:rsidR="00AC1A66">
        <w:rPr>
          <w:i/>
          <w:iCs/>
        </w:rPr>
        <w:t>-</w:t>
      </w:r>
      <w:r w:rsidR="00AC1A66" w:rsidRPr="00AC1A66">
        <w:rPr>
          <w:i/>
          <w:iCs/>
        </w:rPr>
        <w:t xml:space="preserve"> All Distribution</w:t>
      </w:r>
      <w:r w:rsidR="00AC1A66">
        <w:t xml:space="preserve"> </w:t>
      </w:r>
      <w:r>
        <w:t xml:space="preserve">and Figure 3 </w:t>
      </w:r>
      <w:r w:rsidR="00AC1A66">
        <w:t xml:space="preserve">– </w:t>
      </w:r>
      <w:r w:rsidR="00AC1A66" w:rsidRPr="00AC1A66">
        <w:rPr>
          <w:i/>
          <w:iCs/>
        </w:rPr>
        <w:t>U.S. Premium - All Distribution</w:t>
      </w:r>
      <w:r>
        <w:t xml:space="preserve">.  The </w:t>
      </w:r>
      <w:r w:rsidR="004A3EB6">
        <w:t>data</w:t>
      </w:r>
      <w:r>
        <w:t xml:space="preserve"> below the bar charts</w:t>
      </w:r>
      <w:r w:rsidR="00B350BA">
        <w:t xml:space="preserve">, </w:t>
      </w:r>
      <w:r w:rsidR="0027251B">
        <w:t>Table</w:t>
      </w:r>
      <w:r w:rsidR="00B350BA">
        <w:t xml:space="preserve"> </w:t>
      </w:r>
      <w:proofErr w:type="gramStart"/>
      <w:r w:rsidR="00B350BA">
        <w:t>2</w:t>
      </w:r>
      <w:proofErr w:type="gramEnd"/>
      <w:r w:rsidR="00B350BA">
        <w:t xml:space="preserve"> and </w:t>
      </w:r>
      <w:r w:rsidR="0027251B">
        <w:t xml:space="preserve">Table </w:t>
      </w:r>
      <w:r w:rsidR="00B350BA">
        <w:t>3,</w:t>
      </w:r>
      <w:r>
        <w:t xml:space="preserve"> provide the </w:t>
      </w:r>
      <w:r w:rsidR="008E48B8">
        <w:t>short-term (Q1-to-Q1), medium-term (Rolling 12</w:t>
      </w:r>
      <w:r w:rsidR="000209BC">
        <w:t>-</w:t>
      </w:r>
      <w:r w:rsidR="008E48B8">
        <w:t>months), and long-term (</w:t>
      </w:r>
      <w:r w:rsidR="00502EE5">
        <w:t xml:space="preserve">Average </w:t>
      </w:r>
      <w:r w:rsidR="008E48B8">
        <w:t xml:space="preserve">4 years) </w:t>
      </w:r>
      <w:r>
        <w:t>growth rates</w:t>
      </w:r>
      <w:r w:rsidR="00B350BA">
        <w:t xml:space="preserve"> for </w:t>
      </w:r>
      <w:r w:rsidR="00006B17">
        <w:t>Nebraska</w:t>
      </w:r>
      <w:r w:rsidR="00B350BA">
        <w:t xml:space="preserve"> and the United States premiums</w:t>
      </w:r>
      <w:r w:rsidR="002E3A32">
        <w:t>.  A</w:t>
      </w:r>
      <w:r w:rsidR="00502EE5">
        <w:t xml:space="preserve">nd, </w:t>
      </w:r>
      <w:r w:rsidR="00917021">
        <w:t>f</w:t>
      </w:r>
      <w:r w:rsidR="00B350BA">
        <w:t xml:space="preserve">or perspective on the size of the </w:t>
      </w:r>
      <w:r w:rsidR="00006B17">
        <w:t>Nebraska</w:t>
      </w:r>
      <w:r w:rsidR="00B350BA">
        <w:t xml:space="preserve"> P-C insurance marketplace, t</w:t>
      </w:r>
      <w:r>
        <w:t xml:space="preserve">otal premiums </w:t>
      </w:r>
      <w:r w:rsidR="00B350BA">
        <w:t xml:space="preserve">for </w:t>
      </w:r>
      <w:r w:rsidR="00006B17">
        <w:t>Nebraska</w:t>
      </w:r>
      <w:r w:rsidR="00B350BA">
        <w:t xml:space="preserve"> and the United States </w:t>
      </w:r>
      <w:r>
        <w:t xml:space="preserve">are </w:t>
      </w:r>
      <w:r w:rsidR="00917021">
        <w:t xml:space="preserve">also </w:t>
      </w:r>
      <w:r>
        <w:t>provided</w:t>
      </w:r>
      <w:r w:rsidR="00917021">
        <w:t xml:space="preserve"> </w:t>
      </w:r>
      <w:r w:rsidR="0027251B">
        <w:t>with</w:t>
      </w:r>
      <w:r w:rsidR="00917021">
        <w:t xml:space="preserve">in </w:t>
      </w:r>
      <w:r w:rsidR="0027251B">
        <w:t>Tables 2 and 3</w:t>
      </w:r>
      <w:r>
        <w:t>.</w:t>
      </w:r>
      <w:r w:rsidR="00A15C82">
        <w:t xml:space="preserve">  This is the same general approach to the figures and tables taken through</w:t>
      </w:r>
      <w:r w:rsidR="002E3A32">
        <w:t xml:space="preserve">out </w:t>
      </w:r>
      <w:r w:rsidR="004074DA">
        <w:t xml:space="preserve">the rest of </w:t>
      </w:r>
      <w:r w:rsidR="002E3A32">
        <w:t>this</w:t>
      </w:r>
      <w:r w:rsidR="00A15C82">
        <w:t xml:space="preserve"> </w:t>
      </w:r>
      <w:r w:rsidR="00006B17">
        <w:rPr>
          <w:b/>
          <w:bCs/>
          <w:i/>
          <w:iCs/>
        </w:rPr>
        <w:t>Nebraska</w:t>
      </w:r>
      <w:r w:rsidR="00A15C82">
        <w:rPr>
          <w:b/>
          <w:bCs/>
          <w:i/>
          <w:iCs/>
        </w:rPr>
        <w:t xml:space="preserve"> 2022 Quarterly P-C Premium Summary</w:t>
      </w:r>
      <w:r w:rsidR="00AC1A66">
        <w:rPr>
          <w:b/>
          <w:bCs/>
          <w:i/>
          <w:iCs/>
        </w:rPr>
        <w:t xml:space="preserve"> – </w:t>
      </w:r>
      <w:r w:rsidR="00A15C82" w:rsidRPr="00D91DD5">
        <w:rPr>
          <w:b/>
          <w:bCs/>
          <w:i/>
          <w:iCs/>
        </w:rPr>
        <w:t>Q1</w:t>
      </w:r>
      <w:r w:rsidR="00A15C82">
        <w:rPr>
          <w:b/>
          <w:bCs/>
          <w:i/>
          <w:iCs/>
        </w:rPr>
        <w:t>.</w:t>
      </w:r>
      <w:r w:rsidR="00502EE5">
        <w:rPr>
          <w:b/>
          <w:bCs/>
          <w:i/>
          <w:iCs/>
        </w:rPr>
        <w:t xml:space="preserve">  </w:t>
      </w:r>
      <w:r w:rsidR="00502EE5">
        <w:t xml:space="preserve">For </w:t>
      </w:r>
      <w:r w:rsidR="002E3A32">
        <w:t xml:space="preserve">detailed </w:t>
      </w:r>
      <w:r w:rsidR="00502EE5">
        <w:t xml:space="preserve">information on how the short-, medium- and long-term growth percentages are calculated, see </w:t>
      </w:r>
      <w:r w:rsidR="00502EE5" w:rsidRPr="00502EE5">
        <w:rPr>
          <w:i/>
          <w:iCs/>
        </w:rPr>
        <w:t>Appendix #1</w:t>
      </w:r>
      <w:r w:rsidR="00AC1A66">
        <w:rPr>
          <w:i/>
          <w:iCs/>
        </w:rPr>
        <w:t xml:space="preserve"> – </w:t>
      </w:r>
      <w:r w:rsidR="00502EE5" w:rsidRPr="00502EE5">
        <w:rPr>
          <w:i/>
          <w:iCs/>
        </w:rPr>
        <w:t>Measuring Premium Growth</w:t>
      </w:r>
      <w:r w:rsidR="00502EE5">
        <w:t>.</w:t>
      </w:r>
    </w:p>
    <w:p w14:paraId="25860C7C" w14:textId="6632BA50" w:rsidR="0077092A" w:rsidRDefault="0077092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D015A48" w14:textId="0435F85F" w:rsidR="00796640" w:rsidRPr="00FB1207" w:rsidRDefault="00D44954" w:rsidP="005F46C5">
      <w:pPr>
        <w:pStyle w:val="Heading1-NoCollasping"/>
        <w:spacing w:before="0"/>
      </w:pPr>
      <w:r w:rsidRPr="00FB1207">
        <w:lastRenderedPageBreak/>
        <w:t>Distribution Styles</w:t>
      </w:r>
      <w:r w:rsidR="00CF690E" w:rsidRPr="00FB1207">
        <w:t xml:space="preserve"> and Premiums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C2CFB" w:rsidRPr="00D814DD" w14:paraId="01BC338A" w14:textId="77777777" w:rsidTr="008E344D">
        <w:tc>
          <w:tcPr>
            <w:tcW w:w="3120" w:type="dxa"/>
          </w:tcPr>
          <w:p w14:paraId="2D40B071" w14:textId="761D8865" w:rsidR="008C2CFB" w:rsidRDefault="005F46C5" w:rsidP="00D81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4F5ABF8B" wp14:editId="5F635B3B">
                  <wp:extent cx="1828800" cy="122130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1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25BDA077" w14:textId="5F450273" w:rsidR="008C2CFB" w:rsidRDefault="005F46C5" w:rsidP="00D81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52133F6B" wp14:editId="596FB4CE">
                  <wp:extent cx="1828800" cy="1229606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9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76C1BEA8" w14:textId="7DA6BCC3" w:rsidR="008C2CFB" w:rsidRDefault="005F46C5" w:rsidP="00D81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04C979D4" wp14:editId="120424F9">
                  <wp:extent cx="1828800" cy="1229606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9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B6F" w:rsidRPr="00B350BA" w14:paraId="157E0C41" w14:textId="77777777" w:rsidTr="008E344D">
        <w:tc>
          <w:tcPr>
            <w:tcW w:w="3120" w:type="dxa"/>
          </w:tcPr>
          <w:p w14:paraId="17F9E6FA" w14:textId="2731F480" w:rsidR="00B50B6F" w:rsidRPr="00B350BA" w:rsidRDefault="00B50B6F" w:rsidP="00B50B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5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Figure 4</w:t>
            </w:r>
          </w:p>
        </w:tc>
        <w:tc>
          <w:tcPr>
            <w:tcW w:w="3120" w:type="dxa"/>
          </w:tcPr>
          <w:p w14:paraId="691EB9DE" w14:textId="427DA4FF" w:rsidR="00B50B6F" w:rsidRPr="00B350BA" w:rsidRDefault="00B50B6F" w:rsidP="00B50B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5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Figure 5</w:t>
            </w:r>
          </w:p>
        </w:tc>
        <w:tc>
          <w:tcPr>
            <w:tcW w:w="3120" w:type="dxa"/>
          </w:tcPr>
          <w:p w14:paraId="5ACD6A90" w14:textId="692FA3F3" w:rsidR="00B50B6F" w:rsidRPr="00B350BA" w:rsidRDefault="00B50B6F" w:rsidP="00B50B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5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Figure 6</w:t>
            </w:r>
          </w:p>
        </w:tc>
      </w:tr>
      <w:tr w:rsidR="00B50B6F" w:rsidRPr="00992DF1" w14:paraId="2A1AA111" w14:textId="77777777" w:rsidTr="008E344D">
        <w:tc>
          <w:tcPr>
            <w:tcW w:w="3120" w:type="dxa"/>
          </w:tcPr>
          <w:p w14:paraId="08ADC10B" w14:textId="77777777" w:rsidR="00B50B6F" w:rsidRPr="00992DF1" w:rsidRDefault="00B50B6F" w:rsidP="00D814D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0CD374FA" w14:textId="77777777" w:rsidR="00B50B6F" w:rsidRPr="00992DF1" w:rsidRDefault="00B50B6F" w:rsidP="00D814D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273B5438" w14:textId="77777777" w:rsidR="00B50B6F" w:rsidRPr="00992DF1" w:rsidRDefault="00B50B6F" w:rsidP="00D814D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8A7F91" w:rsidRPr="00D814DD" w14:paraId="61283989" w14:textId="77777777" w:rsidTr="008E344D"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5F46C5" w:rsidRPr="005F46C5" w14:paraId="1C4FAB44" w14:textId="77777777" w:rsidTr="005F46C5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B3FF0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Q1-to-Q1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0E3FC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6EF86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5F46C5" w:rsidRPr="005F46C5" w14:paraId="2E0B011F" w14:textId="77777777" w:rsidTr="005F46C5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A2366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18.0%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CE145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15.4%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B1B17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11.3%</w:t>
                  </w:r>
                </w:p>
              </w:tc>
            </w:tr>
            <w:tr w:rsidR="005F46C5" w:rsidRPr="005F46C5" w14:paraId="0C36DF2F" w14:textId="77777777" w:rsidTr="005F46C5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36CBD7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$3,986,563,000</w:t>
                  </w:r>
                </w:p>
              </w:tc>
            </w:tr>
          </w:tbl>
          <w:p w14:paraId="19909E6C" w14:textId="77777777" w:rsidR="008A7F91" w:rsidRPr="00D814DD" w:rsidRDefault="008A7F91" w:rsidP="008A7F9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5F46C5" w:rsidRPr="005F46C5" w14:paraId="1BE46606" w14:textId="77777777" w:rsidTr="005F46C5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82300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Q1-to-Q1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3891E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0471A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5F46C5" w:rsidRPr="005F46C5" w14:paraId="171564B4" w14:textId="77777777" w:rsidTr="005F46C5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AA2CA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0.5%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3D21D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3.3%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054E4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4.7%</w:t>
                  </w:r>
                </w:p>
              </w:tc>
            </w:tr>
            <w:tr w:rsidR="005F46C5" w:rsidRPr="005F46C5" w14:paraId="66318E9D" w14:textId="77777777" w:rsidTr="005F46C5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C517DF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$546,138,000</w:t>
                  </w:r>
                </w:p>
              </w:tc>
            </w:tr>
          </w:tbl>
          <w:p w14:paraId="5C1A6448" w14:textId="77777777" w:rsidR="008A7F91" w:rsidRPr="00D814DD" w:rsidRDefault="008A7F91" w:rsidP="008A7F9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5F46C5" w:rsidRPr="005F46C5" w14:paraId="78C798A9" w14:textId="77777777" w:rsidTr="005F46C5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9F2C1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Q1-to-Q1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2A16A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74E67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5F46C5" w:rsidRPr="005F46C5" w14:paraId="5AE3ACE4" w14:textId="77777777" w:rsidTr="005F46C5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88408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8.7%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DEB77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8.4%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F15C9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4.0%</w:t>
                  </w:r>
                </w:p>
              </w:tc>
            </w:tr>
            <w:tr w:rsidR="005F46C5" w:rsidRPr="005F46C5" w14:paraId="3C20D6D6" w14:textId="77777777" w:rsidTr="005F46C5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6C7DBE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$1,515,328,000</w:t>
                  </w:r>
                </w:p>
              </w:tc>
            </w:tr>
          </w:tbl>
          <w:p w14:paraId="7B861032" w14:textId="77777777" w:rsidR="008A7F91" w:rsidRPr="00D814DD" w:rsidRDefault="008A7F91" w:rsidP="008A7F91">
            <w:pPr>
              <w:rPr>
                <w:sz w:val="18"/>
                <w:szCs w:val="18"/>
              </w:rPr>
            </w:pPr>
          </w:p>
        </w:tc>
      </w:tr>
      <w:tr w:rsidR="008A7F91" w:rsidRPr="00B50B6F" w14:paraId="45268B23" w14:textId="77777777" w:rsidTr="008E344D">
        <w:tc>
          <w:tcPr>
            <w:tcW w:w="3120" w:type="dxa"/>
          </w:tcPr>
          <w:p w14:paraId="5F3421D9" w14:textId="18C7CDF3" w:rsidR="008A7F91" w:rsidRPr="00B50B6F" w:rsidRDefault="0027251B" w:rsidP="008A7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="0062631D" w:rsidRPr="00B50B6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120" w:type="dxa"/>
          </w:tcPr>
          <w:p w14:paraId="6E035CF1" w14:textId="32401F01" w:rsidR="008A7F91" w:rsidRPr="00B50B6F" w:rsidRDefault="0027251B" w:rsidP="008A7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="0062631D" w:rsidRPr="00B50B6F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120" w:type="dxa"/>
          </w:tcPr>
          <w:p w14:paraId="121184F6" w14:textId="451AE0D4" w:rsidR="008A7F91" w:rsidRPr="00B50B6F" w:rsidRDefault="0027251B" w:rsidP="008A7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="0062631D" w:rsidRPr="00B50B6F">
              <w:rPr>
                <w:sz w:val="20"/>
                <w:szCs w:val="20"/>
              </w:rPr>
              <w:t xml:space="preserve"> 6</w:t>
            </w:r>
          </w:p>
        </w:tc>
      </w:tr>
    </w:tbl>
    <w:p w14:paraId="615E19FA" w14:textId="5F54DC0B" w:rsidR="008A7F91" w:rsidRPr="00B91DF3" w:rsidRDefault="008A7F91" w:rsidP="006B74C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C2CFB" w:rsidRPr="007E1590" w14:paraId="2BAE1D43" w14:textId="77777777" w:rsidTr="008E344D">
        <w:tc>
          <w:tcPr>
            <w:tcW w:w="3120" w:type="dxa"/>
          </w:tcPr>
          <w:p w14:paraId="68955583" w14:textId="1C5C91FD" w:rsidR="008C2CFB" w:rsidRDefault="005F46C5" w:rsidP="007E15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34EC0544" wp14:editId="5C8ABDA6">
                  <wp:extent cx="1828800" cy="122415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4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43FE82CB" w14:textId="54166F15" w:rsidR="008C2CFB" w:rsidRDefault="005F46C5" w:rsidP="007E15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66CD2BEF" wp14:editId="32986C30">
                  <wp:extent cx="1828800" cy="1235658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35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15EC776C" w14:textId="11562C07" w:rsidR="008C2CFB" w:rsidRDefault="005F46C5" w:rsidP="007E15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5CD1107D" wp14:editId="257BEBBE">
                  <wp:extent cx="1828800" cy="1232473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32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B6F" w:rsidRPr="00B350BA" w14:paraId="5ABC5277" w14:textId="77777777" w:rsidTr="008E344D">
        <w:tc>
          <w:tcPr>
            <w:tcW w:w="3120" w:type="dxa"/>
          </w:tcPr>
          <w:p w14:paraId="2C4F04E4" w14:textId="332FEEF9" w:rsidR="00B50B6F" w:rsidRPr="00B350BA" w:rsidRDefault="00B50B6F" w:rsidP="00B50B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5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Figure 7</w:t>
            </w:r>
          </w:p>
        </w:tc>
        <w:tc>
          <w:tcPr>
            <w:tcW w:w="3120" w:type="dxa"/>
          </w:tcPr>
          <w:p w14:paraId="6E7B6D93" w14:textId="50EF84A6" w:rsidR="00B50B6F" w:rsidRPr="00B350BA" w:rsidRDefault="00B50B6F" w:rsidP="00B50B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5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Figure 8</w:t>
            </w:r>
          </w:p>
        </w:tc>
        <w:tc>
          <w:tcPr>
            <w:tcW w:w="3120" w:type="dxa"/>
          </w:tcPr>
          <w:p w14:paraId="10279CF0" w14:textId="0FC0A501" w:rsidR="00B50B6F" w:rsidRPr="00B350BA" w:rsidRDefault="00B50B6F" w:rsidP="00B50B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5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Figure </w:t>
            </w:r>
            <w:r w:rsidR="00B350BA" w:rsidRPr="00B35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50B6F" w:rsidRPr="00992DF1" w14:paraId="20C81DBF" w14:textId="77777777" w:rsidTr="008E344D">
        <w:tc>
          <w:tcPr>
            <w:tcW w:w="3120" w:type="dxa"/>
          </w:tcPr>
          <w:p w14:paraId="3B954411" w14:textId="77777777" w:rsidR="00B50B6F" w:rsidRPr="00992DF1" w:rsidRDefault="00B50B6F" w:rsidP="007E159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68611358" w14:textId="77777777" w:rsidR="00B50B6F" w:rsidRPr="00992DF1" w:rsidRDefault="00B50B6F" w:rsidP="007E159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6F3008A2" w14:textId="77777777" w:rsidR="00B50B6F" w:rsidRPr="00992DF1" w:rsidRDefault="00B50B6F" w:rsidP="007E159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7E1590" w:rsidRPr="007E1590" w14:paraId="3BA9F963" w14:textId="77777777" w:rsidTr="008E344D"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5F46C5" w:rsidRPr="005F46C5" w14:paraId="0C4ACE72" w14:textId="77777777" w:rsidTr="005F46C5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E203B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Q1-to-Q1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72DE8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8F924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5F46C5" w:rsidRPr="005F46C5" w14:paraId="604ADF74" w14:textId="77777777" w:rsidTr="005F46C5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EA257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16.7%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69C8C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44.4%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0A8DC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9.0%</w:t>
                  </w:r>
                </w:p>
              </w:tc>
            </w:tr>
            <w:tr w:rsidR="005F46C5" w:rsidRPr="005F46C5" w14:paraId="37C2EDAC" w14:textId="77777777" w:rsidTr="005F46C5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6B55AF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$3,247,938,000</w:t>
                  </w:r>
                </w:p>
              </w:tc>
            </w:tr>
          </w:tbl>
          <w:p w14:paraId="4082CD5B" w14:textId="77777777" w:rsidR="007E1590" w:rsidRPr="007E1590" w:rsidRDefault="007E1590" w:rsidP="00D814DD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5F46C5" w:rsidRPr="005F46C5" w14:paraId="4C538459" w14:textId="77777777" w:rsidTr="005F46C5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D9BDF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Q1-to-Q1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1BEA2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B3A2C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5F46C5" w:rsidRPr="005F46C5" w14:paraId="64D2B68A" w14:textId="77777777" w:rsidTr="005F46C5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9266B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11.5%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3B9C6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35.2%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AD824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16.8%</w:t>
                  </w:r>
                </w:p>
              </w:tc>
            </w:tr>
            <w:tr w:rsidR="005F46C5" w:rsidRPr="005F46C5" w14:paraId="794698EE" w14:textId="77777777" w:rsidTr="005F46C5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B1C7B2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$479,436,000</w:t>
                  </w:r>
                </w:p>
              </w:tc>
            </w:tr>
          </w:tbl>
          <w:p w14:paraId="750CE63C" w14:textId="77777777" w:rsidR="007E1590" w:rsidRPr="007E1590" w:rsidRDefault="007E1590" w:rsidP="00D814DD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5F46C5" w:rsidRPr="005F46C5" w14:paraId="70CD0B71" w14:textId="77777777" w:rsidTr="005F46C5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C767C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Q1-to-Q1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A43BE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5C1EB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5F46C5" w:rsidRPr="005F46C5" w14:paraId="10353B5B" w14:textId="77777777" w:rsidTr="005F46C5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CDB4D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35.1%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5C628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12.4%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FB44F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30.7%</w:t>
                  </w:r>
                </w:p>
              </w:tc>
            </w:tr>
            <w:tr w:rsidR="005F46C5" w:rsidRPr="005F46C5" w14:paraId="671EB275" w14:textId="77777777" w:rsidTr="005F46C5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32C0E3" w14:textId="77777777" w:rsidR="005F46C5" w:rsidRPr="005F46C5" w:rsidRDefault="005F46C5" w:rsidP="005F46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5F46C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$259,189,000</w:t>
                  </w:r>
                </w:p>
              </w:tc>
            </w:tr>
          </w:tbl>
          <w:p w14:paraId="0AE98542" w14:textId="77777777" w:rsidR="007E1590" w:rsidRPr="007E1590" w:rsidRDefault="007E1590" w:rsidP="00D814DD">
            <w:pPr>
              <w:rPr>
                <w:sz w:val="18"/>
                <w:szCs w:val="18"/>
              </w:rPr>
            </w:pPr>
          </w:p>
        </w:tc>
      </w:tr>
      <w:tr w:rsidR="007E1590" w:rsidRPr="00B350BA" w14:paraId="350FF9CC" w14:textId="77777777" w:rsidTr="008E344D">
        <w:tc>
          <w:tcPr>
            <w:tcW w:w="3120" w:type="dxa"/>
          </w:tcPr>
          <w:p w14:paraId="02D11E97" w14:textId="2250E091" w:rsidR="007E1590" w:rsidRPr="00B350BA" w:rsidRDefault="0027251B" w:rsidP="00D81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="001A36CD" w:rsidRPr="00B350BA">
              <w:rPr>
                <w:sz w:val="20"/>
                <w:szCs w:val="20"/>
              </w:rPr>
              <w:t xml:space="preserve"> 7</w:t>
            </w:r>
          </w:p>
        </w:tc>
        <w:tc>
          <w:tcPr>
            <w:tcW w:w="3120" w:type="dxa"/>
          </w:tcPr>
          <w:p w14:paraId="2B8F2F3E" w14:textId="5B245031" w:rsidR="007E1590" w:rsidRPr="00B350BA" w:rsidRDefault="0027251B" w:rsidP="00D81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="001A36CD" w:rsidRPr="00B350BA">
              <w:rPr>
                <w:sz w:val="20"/>
                <w:szCs w:val="20"/>
              </w:rPr>
              <w:t xml:space="preserve"> 8</w:t>
            </w:r>
          </w:p>
        </w:tc>
        <w:tc>
          <w:tcPr>
            <w:tcW w:w="3120" w:type="dxa"/>
          </w:tcPr>
          <w:p w14:paraId="2F1433B2" w14:textId="7F45A2E5" w:rsidR="007E1590" w:rsidRPr="00B350BA" w:rsidRDefault="0027251B" w:rsidP="00D81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="001A36CD" w:rsidRPr="00B350BA">
              <w:rPr>
                <w:sz w:val="20"/>
                <w:szCs w:val="20"/>
              </w:rPr>
              <w:t xml:space="preserve"> 9</w:t>
            </w:r>
          </w:p>
        </w:tc>
      </w:tr>
    </w:tbl>
    <w:p w14:paraId="3E20CDD2" w14:textId="11F413CE" w:rsidR="002F2AB0" w:rsidRPr="00B91DF3" w:rsidRDefault="002F2AB0" w:rsidP="006B74C4">
      <w:pPr>
        <w:spacing w:after="0"/>
        <w:rPr>
          <w:rStyle w:val="SubtleEmphasis"/>
          <w:i w:val="0"/>
          <w:iCs w:val="0"/>
          <w:color w:val="auto"/>
          <w:sz w:val="22"/>
        </w:rPr>
      </w:pPr>
    </w:p>
    <w:tbl>
      <w:tblPr>
        <w:tblStyle w:val="TableGrid"/>
        <w:tblW w:w="4796" w:type="pct"/>
        <w:tblLook w:val="04A0" w:firstRow="1" w:lastRow="0" w:firstColumn="1" w:lastColumn="0" w:noHBand="0" w:noVBand="1"/>
      </w:tblPr>
      <w:tblGrid>
        <w:gridCol w:w="1403"/>
        <w:gridCol w:w="1665"/>
        <w:gridCol w:w="1074"/>
        <w:gridCol w:w="1613"/>
        <w:gridCol w:w="1415"/>
        <w:gridCol w:w="757"/>
        <w:gridCol w:w="1026"/>
        <w:gridCol w:w="16"/>
      </w:tblGrid>
      <w:tr w:rsidR="006D4CF7" w:rsidRPr="0070717C" w14:paraId="707A0A4B" w14:textId="77777777" w:rsidTr="00B440E4">
        <w:trPr>
          <w:trHeight w:val="20"/>
        </w:trPr>
        <w:tc>
          <w:tcPr>
            <w:tcW w:w="5000" w:type="pct"/>
            <w:gridSpan w:val="8"/>
            <w:tcBorders>
              <w:bottom w:val="nil"/>
            </w:tcBorders>
            <w:noWrap/>
          </w:tcPr>
          <w:p w14:paraId="0CC80525" w14:textId="268F98B6" w:rsidR="006D4CF7" w:rsidRPr="0070717C" w:rsidRDefault="00BF69AC" w:rsidP="00B440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44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United States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Premium Growth-</w:t>
            </w:r>
            <w:r w:rsidRPr="00B44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 Comparison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6D4CF7" w:rsidRPr="0070717C" w14:paraId="10665083" w14:textId="77777777" w:rsidTr="006D4CF7">
        <w:trPr>
          <w:gridAfter w:val="1"/>
          <w:wAfter w:w="8" w:type="pct"/>
          <w:trHeight w:val="20"/>
        </w:trPr>
        <w:tc>
          <w:tcPr>
            <w:tcW w:w="782" w:type="pct"/>
            <w:noWrap/>
            <w:hideMark/>
          </w:tcPr>
          <w:p w14:paraId="0E3908E2" w14:textId="54950D3F" w:rsidR="00292CA4" w:rsidRPr="0070717C" w:rsidRDefault="00292CA4" w:rsidP="00EC3E2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bookmarkStart w:id="4" w:name="_Hlk81833783"/>
            <w:r w:rsidRPr="007071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928" w:type="pct"/>
            <w:noWrap/>
            <w:hideMark/>
          </w:tcPr>
          <w:p w14:paraId="3D16790E" w14:textId="74BBCA6D" w:rsidR="00292CA4" w:rsidRPr="0070717C" w:rsidRDefault="00292CA4" w:rsidP="00EC3E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Independent Agent</w:t>
            </w:r>
          </w:p>
        </w:tc>
        <w:tc>
          <w:tcPr>
            <w:tcW w:w="599" w:type="pct"/>
            <w:noWrap/>
            <w:hideMark/>
          </w:tcPr>
          <w:p w14:paraId="222ED558" w14:textId="406E7D0F" w:rsidR="00292CA4" w:rsidRPr="0070717C" w:rsidRDefault="00292CA4" w:rsidP="00EC3E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Direct</w:t>
            </w:r>
          </w:p>
        </w:tc>
        <w:tc>
          <w:tcPr>
            <w:tcW w:w="899" w:type="pct"/>
            <w:noWrap/>
            <w:hideMark/>
          </w:tcPr>
          <w:p w14:paraId="79BB60D7" w14:textId="603BC148" w:rsidR="00292CA4" w:rsidRPr="0070717C" w:rsidRDefault="00292CA4" w:rsidP="00EC3E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Exclusive-Captive</w:t>
            </w:r>
          </w:p>
        </w:tc>
        <w:tc>
          <w:tcPr>
            <w:tcW w:w="789" w:type="pct"/>
            <w:noWrap/>
            <w:hideMark/>
          </w:tcPr>
          <w:p w14:paraId="247F0A13" w14:textId="22901480" w:rsidR="00292CA4" w:rsidRPr="0070717C" w:rsidRDefault="00292CA4" w:rsidP="00EC3E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IA or Broker</w:t>
            </w:r>
          </w:p>
        </w:tc>
        <w:tc>
          <w:tcPr>
            <w:tcW w:w="422" w:type="pct"/>
            <w:noWrap/>
            <w:hideMark/>
          </w:tcPr>
          <w:p w14:paraId="38B23905" w14:textId="369D9CCF" w:rsidR="00292CA4" w:rsidRPr="0070717C" w:rsidRDefault="00292CA4" w:rsidP="00EC3E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MGA</w:t>
            </w:r>
          </w:p>
        </w:tc>
        <w:tc>
          <w:tcPr>
            <w:tcW w:w="572" w:type="pct"/>
            <w:noWrap/>
            <w:hideMark/>
          </w:tcPr>
          <w:p w14:paraId="28423E8C" w14:textId="1B4C5B1D" w:rsidR="00292CA4" w:rsidRPr="0070717C" w:rsidRDefault="00292CA4" w:rsidP="00EC3E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IA-Mixed</w:t>
            </w:r>
          </w:p>
        </w:tc>
      </w:tr>
      <w:tr w:rsidR="006D4CF7" w:rsidRPr="0070717C" w14:paraId="5ED1C27E" w14:textId="77777777" w:rsidTr="006D4CF7">
        <w:trPr>
          <w:gridAfter w:val="1"/>
          <w:wAfter w:w="8" w:type="pct"/>
          <w:trHeight w:val="20"/>
        </w:trPr>
        <w:tc>
          <w:tcPr>
            <w:tcW w:w="782" w:type="pct"/>
            <w:noWrap/>
            <w:hideMark/>
          </w:tcPr>
          <w:p w14:paraId="402B684A" w14:textId="681DA8B5" w:rsidR="00292CA4" w:rsidRPr="0070717C" w:rsidRDefault="00292CA4" w:rsidP="0011694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Q1-to-Q1</w:t>
            </w:r>
          </w:p>
        </w:tc>
        <w:tc>
          <w:tcPr>
            <w:tcW w:w="928" w:type="pct"/>
            <w:noWrap/>
          </w:tcPr>
          <w:p w14:paraId="5C4CA949" w14:textId="27E1A054" w:rsidR="00292CA4" w:rsidRPr="0070717C" w:rsidRDefault="00292CA4" w:rsidP="001169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599" w:type="pct"/>
            <w:noWrap/>
          </w:tcPr>
          <w:p w14:paraId="04073D86" w14:textId="77DDE2AD" w:rsidR="00292CA4" w:rsidRPr="0070717C" w:rsidRDefault="00292CA4" w:rsidP="001169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899" w:type="pct"/>
            <w:noWrap/>
          </w:tcPr>
          <w:p w14:paraId="24CFF5A7" w14:textId="442919CC" w:rsidR="00292CA4" w:rsidRPr="0070717C" w:rsidRDefault="00292CA4" w:rsidP="001169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789" w:type="pct"/>
            <w:noWrap/>
          </w:tcPr>
          <w:p w14:paraId="590FD571" w14:textId="578410D9" w:rsidR="00292CA4" w:rsidRPr="0070717C" w:rsidRDefault="00292CA4" w:rsidP="001169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422" w:type="pct"/>
            <w:noWrap/>
          </w:tcPr>
          <w:p w14:paraId="4F7C3EB8" w14:textId="5C053A71" w:rsidR="00292CA4" w:rsidRPr="0070717C" w:rsidRDefault="00292CA4" w:rsidP="001169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19.9%</w:t>
            </w:r>
          </w:p>
        </w:tc>
        <w:tc>
          <w:tcPr>
            <w:tcW w:w="572" w:type="pct"/>
            <w:noWrap/>
          </w:tcPr>
          <w:p w14:paraId="6C7EFD8C" w14:textId="43B9CD29" w:rsidR="00292CA4" w:rsidRPr="0070717C" w:rsidRDefault="00292CA4" w:rsidP="001169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14.4%</w:t>
            </w:r>
          </w:p>
        </w:tc>
      </w:tr>
      <w:tr w:rsidR="006D4CF7" w:rsidRPr="0070717C" w14:paraId="78CCA3DF" w14:textId="77777777" w:rsidTr="006D4CF7">
        <w:trPr>
          <w:gridAfter w:val="1"/>
          <w:wAfter w:w="8" w:type="pct"/>
          <w:trHeight w:val="20"/>
        </w:trPr>
        <w:tc>
          <w:tcPr>
            <w:tcW w:w="782" w:type="pct"/>
            <w:noWrap/>
            <w:hideMark/>
          </w:tcPr>
          <w:p w14:paraId="301F4580" w14:textId="10370B3C" w:rsidR="00292CA4" w:rsidRPr="0070717C" w:rsidRDefault="00292CA4" w:rsidP="0011694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Rolling</w:t>
            </w:r>
          </w:p>
        </w:tc>
        <w:tc>
          <w:tcPr>
            <w:tcW w:w="928" w:type="pct"/>
            <w:noWrap/>
          </w:tcPr>
          <w:p w14:paraId="3AB9FE4A" w14:textId="0FD2EF67" w:rsidR="00292CA4" w:rsidRPr="0070717C" w:rsidRDefault="00292CA4" w:rsidP="001169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13.1%</w:t>
            </w:r>
          </w:p>
        </w:tc>
        <w:tc>
          <w:tcPr>
            <w:tcW w:w="599" w:type="pct"/>
            <w:noWrap/>
          </w:tcPr>
          <w:p w14:paraId="0C5D3EF8" w14:textId="19BDA148" w:rsidR="00292CA4" w:rsidRPr="0070717C" w:rsidRDefault="00292CA4" w:rsidP="001169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34.2%</w:t>
            </w:r>
          </w:p>
        </w:tc>
        <w:tc>
          <w:tcPr>
            <w:tcW w:w="899" w:type="pct"/>
            <w:noWrap/>
          </w:tcPr>
          <w:p w14:paraId="70455AA7" w14:textId="00C6C0F1" w:rsidR="00292CA4" w:rsidRPr="0070717C" w:rsidRDefault="00292CA4" w:rsidP="001169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6.4%</w:t>
            </w:r>
          </w:p>
        </w:tc>
        <w:tc>
          <w:tcPr>
            <w:tcW w:w="789" w:type="pct"/>
            <w:noWrap/>
          </w:tcPr>
          <w:p w14:paraId="2FB3991A" w14:textId="3D750023" w:rsidR="00292CA4" w:rsidRPr="0070717C" w:rsidRDefault="00292CA4" w:rsidP="001169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40.5%</w:t>
            </w:r>
          </w:p>
        </w:tc>
        <w:tc>
          <w:tcPr>
            <w:tcW w:w="422" w:type="pct"/>
            <w:noWrap/>
          </w:tcPr>
          <w:p w14:paraId="18054B98" w14:textId="430D86A7" w:rsidR="00292CA4" w:rsidRPr="0070717C" w:rsidRDefault="00292CA4" w:rsidP="001169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21.6%</w:t>
            </w:r>
          </w:p>
        </w:tc>
        <w:tc>
          <w:tcPr>
            <w:tcW w:w="572" w:type="pct"/>
            <w:noWrap/>
          </w:tcPr>
          <w:p w14:paraId="1E31D532" w14:textId="33B75700" w:rsidR="00292CA4" w:rsidRPr="0070717C" w:rsidRDefault="00292CA4" w:rsidP="001169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15.6%</w:t>
            </w:r>
          </w:p>
        </w:tc>
      </w:tr>
      <w:tr w:rsidR="006D4CF7" w:rsidRPr="0070717C" w14:paraId="3CE7D311" w14:textId="77777777" w:rsidTr="006D4CF7">
        <w:trPr>
          <w:gridAfter w:val="1"/>
          <w:wAfter w:w="8" w:type="pct"/>
          <w:trHeight w:val="20"/>
        </w:trPr>
        <w:tc>
          <w:tcPr>
            <w:tcW w:w="782" w:type="pct"/>
            <w:tcBorders>
              <w:bottom w:val="single" w:sz="4" w:space="0" w:color="auto"/>
            </w:tcBorders>
            <w:noWrap/>
            <w:hideMark/>
          </w:tcPr>
          <w:p w14:paraId="5DB79181" w14:textId="0B83A5B8" w:rsidR="00292CA4" w:rsidRPr="0070717C" w:rsidRDefault="00292CA4" w:rsidP="001169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noWrap/>
          </w:tcPr>
          <w:p w14:paraId="6655E67D" w14:textId="36DD2689" w:rsidR="00292CA4" w:rsidRPr="0070717C" w:rsidRDefault="00292CA4" w:rsidP="001169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7.6%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noWrap/>
          </w:tcPr>
          <w:p w14:paraId="08784771" w14:textId="1D330728" w:rsidR="00292CA4" w:rsidRPr="0070717C" w:rsidRDefault="00292CA4" w:rsidP="001169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noWrap/>
          </w:tcPr>
          <w:p w14:paraId="09598176" w14:textId="742BC0B0" w:rsidR="00292CA4" w:rsidRPr="0070717C" w:rsidRDefault="00292CA4" w:rsidP="001169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noWrap/>
          </w:tcPr>
          <w:p w14:paraId="49C84350" w14:textId="45DAEFBC" w:rsidR="00292CA4" w:rsidRPr="0070717C" w:rsidRDefault="00292CA4" w:rsidP="001169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noWrap/>
          </w:tcPr>
          <w:p w14:paraId="22CB3DCA" w14:textId="5F15D2AA" w:rsidR="00292CA4" w:rsidRPr="0070717C" w:rsidRDefault="00292CA4" w:rsidP="001169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noWrap/>
          </w:tcPr>
          <w:p w14:paraId="6A0E2D2C" w14:textId="1CAA2FF1" w:rsidR="00292CA4" w:rsidRPr="0070717C" w:rsidRDefault="00292CA4" w:rsidP="001169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11.1%</w:t>
            </w:r>
          </w:p>
        </w:tc>
      </w:tr>
      <w:tr w:rsidR="006D4CF7" w:rsidRPr="00536A52" w14:paraId="1C33B1A2" w14:textId="77777777" w:rsidTr="006D4CF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9E6F437" w14:textId="7FA98FCC" w:rsidR="006D4CF7" w:rsidRPr="00536A52" w:rsidRDefault="006D4CF7" w:rsidP="006D4C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6A52">
              <w:rPr>
                <w:rFonts w:ascii="Calibri" w:hAnsi="Calibri" w:cs="Calibri"/>
                <w:color w:val="000000"/>
                <w:sz w:val="20"/>
                <w:szCs w:val="20"/>
              </w:rPr>
              <w:t>Table 10</w:t>
            </w:r>
          </w:p>
        </w:tc>
      </w:tr>
    </w:tbl>
    <w:bookmarkEnd w:id="4"/>
    <w:p w14:paraId="7D86E063" w14:textId="05C7E771" w:rsidR="00ED36E3" w:rsidRPr="00DD386D" w:rsidRDefault="00ED36E3" w:rsidP="005F46C5">
      <w:pPr>
        <w:pStyle w:val="FiguresandAMBestSource"/>
        <w:spacing w:before="0"/>
        <w:rPr>
          <w:rStyle w:val="SubtleEmphasis"/>
          <w:i w:val="0"/>
          <w:iCs w:val="0"/>
          <w:color w:val="auto"/>
        </w:rPr>
      </w:pPr>
      <w:r w:rsidRPr="00DD386D">
        <w:rPr>
          <w:rStyle w:val="SubtleEmphasis"/>
          <w:i w:val="0"/>
          <w:iCs w:val="0"/>
          <w:color w:val="auto"/>
        </w:rPr>
        <w:t>Source: © A.M. Best Company — used by permission.</w:t>
      </w:r>
    </w:p>
    <w:p w14:paraId="778D9792" w14:textId="571F679D" w:rsidR="00FD7BC2" w:rsidRPr="002670EC" w:rsidRDefault="00FD7BC2" w:rsidP="0077092A">
      <w:pPr>
        <w:pStyle w:val="NotesorCommetns"/>
      </w:pPr>
      <w:r w:rsidRPr="002670EC">
        <w:t>Notes:</w:t>
      </w:r>
    </w:p>
    <w:p w14:paraId="66D1BFF8" w14:textId="1E694D7E" w:rsidR="006B3173" w:rsidRDefault="007B6E3D">
      <w:bookmarkStart w:id="5" w:name="_Hlk81837975"/>
      <w:r>
        <w:t xml:space="preserve">Distribution styles shown above are based on insurer “Marketing Types.” </w:t>
      </w:r>
      <w:r w:rsidR="00561D3B">
        <w:t xml:space="preserve">Figures </w:t>
      </w:r>
      <w:r w:rsidR="009631F1">
        <w:t xml:space="preserve">and Tables </w:t>
      </w:r>
      <w:r w:rsidR="00561D3B">
        <w:t>4-</w:t>
      </w:r>
      <w:r w:rsidR="0062631D">
        <w:t>6</w:t>
      </w:r>
      <w:r w:rsidR="00561D3B">
        <w:t xml:space="preserve"> </w:t>
      </w:r>
      <w:r w:rsidR="00405955">
        <w:t xml:space="preserve">show the </w:t>
      </w:r>
      <w:r w:rsidR="0062631D">
        <w:t xml:space="preserve">main distribution styles </w:t>
      </w:r>
      <w:r w:rsidR="009631F1">
        <w:t xml:space="preserve">P-C </w:t>
      </w:r>
      <w:r w:rsidR="0062631D">
        <w:t xml:space="preserve">insurers use to sell their policies.  </w:t>
      </w:r>
      <w:r w:rsidR="002E5837">
        <w:t>Figure</w:t>
      </w:r>
      <w:r w:rsidR="009631F1">
        <w:t>s</w:t>
      </w:r>
      <w:r w:rsidR="002E5837">
        <w:t xml:space="preserve"> 4</w:t>
      </w:r>
      <w:r w:rsidR="009631F1">
        <w:t xml:space="preserve">-6 visually show the actual quarterly premium dollars for </w:t>
      </w:r>
      <w:r w:rsidR="00006B17">
        <w:t>Nebraska</w:t>
      </w:r>
      <w:r w:rsidR="009631F1">
        <w:t xml:space="preserve"> </w:t>
      </w:r>
      <w:r>
        <w:t>Independent Agent distribution</w:t>
      </w:r>
      <w:r w:rsidR="009631F1">
        <w:t xml:space="preserve">, insurers using </w:t>
      </w:r>
      <w:r w:rsidR="00A15C82">
        <w:t>D</w:t>
      </w:r>
      <w:r w:rsidR="009631F1">
        <w:t>irect distribution</w:t>
      </w:r>
      <w:r w:rsidR="002E3A32">
        <w:t>,</w:t>
      </w:r>
      <w:r w:rsidR="009631F1">
        <w:t xml:space="preserve"> and </w:t>
      </w:r>
      <w:r w:rsidR="0062631D">
        <w:t xml:space="preserve">insurers using </w:t>
      </w:r>
      <w:r w:rsidR="008E344D">
        <w:t>Exclusive-C</w:t>
      </w:r>
      <w:r w:rsidR="0062631D">
        <w:t xml:space="preserve">aptive distribution.  </w:t>
      </w:r>
      <w:r w:rsidR="009631F1">
        <w:t xml:space="preserve">Tables 4-6 show </w:t>
      </w:r>
      <w:r w:rsidR="00292CA4">
        <w:t>the exact percentage growth rates for th</w:t>
      </w:r>
      <w:r w:rsidR="00A15C82">
        <w:t>e</w:t>
      </w:r>
      <w:r w:rsidR="00292CA4">
        <w:t xml:space="preserve">se distribution styles for </w:t>
      </w:r>
      <w:r w:rsidR="00006B17">
        <w:t>Nebraska</w:t>
      </w:r>
      <w:r w:rsidR="00AF2143">
        <w:t>,</w:t>
      </w:r>
      <w:r w:rsidR="00A15C82">
        <w:t xml:space="preserve"> and</w:t>
      </w:r>
      <w:r w:rsidR="00292CA4">
        <w:t xml:space="preserve"> for perspective</w:t>
      </w:r>
      <w:r w:rsidR="00A15C82">
        <w:t>,</w:t>
      </w:r>
      <w:r w:rsidR="00292CA4">
        <w:t xml:space="preserve"> the premiums for each distribution style are provided within those tables.</w:t>
      </w:r>
      <w:r w:rsidR="003D214B">
        <w:t xml:space="preserve">  </w:t>
      </w:r>
      <w:r w:rsidR="00292CA4">
        <w:t>Next</w:t>
      </w:r>
      <w:r w:rsidR="00AF2143">
        <w:t>,</w:t>
      </w:r>
      <w:r w:rsidR="00292CA4">
        <w:t xml:space="preserve"> shown in </w:t>
      </w:r>
      <w:r w:rsidR="0062631D">
        <w:t xml:space="preserve">Figures </w:t>
      </w:r>
      <w:r w:rsidR="00292CA4">
        <w:t>and Tables 7-9</w:t>
      </w:r>
      <w:r w:rsidR="0062631D">
        <w:t>, are the component</w:t>
      </w:r>
      <w:r w:rsidR="003D214B">
        <w:t xml:space="preserve">s </w:t>
      </w:r>
      <w:r w:rsidR="0062631D">
        <w:t xml:space="preserve">of the insurers classified as using </w:t>
      </w:r>
      <w:r w:rsidR="008E344D">
        <w:t>I</w:t>
      </w:r>
      <w:r w:rsidR="0062631D">
        <w:t xml:space="preserve">ndependent </w:t>
      </w:r>
      <w:r w:rsidR="008E344D">
        <w:t>A</w:t>
      </w:r>
      <w:r w:rsidR="0062631D">
        <w:t>gents</w:t>
      </w:r>
      <w:r w:rsidR="003D214B">
        <w:t>, which are</w:t>
      </w:r>
      <w:r w:rsidR="00292CA4">
        <w:t xml:space="preserve"> </w:t>
      </w:r>
      <w:r w:rsidR="003D214B">
        <w:t xml:space="preserve">insurers using purely </w:t>
      </w:r>
      <w:r w:rsidR="00292CA4">
        <w:t xml:space="preserve">IA or Broker, </w:t>
      </w:r>
      <w:r w:rsidR="008E344D">
        <w:t xml:space="preserve">MGAs </w:t>
      </w:r>
      <w:r w:rsidR="003D214B">
        <w:t>(</w:t>
      </w:r>
      <w:r w:rsidR="008E344D">
        <w:t xml:space="preserve">also called </w:t>
      </w:r>
      <w:r w:rsidR="001A36CD">
        <w:t xml:space="preserve">general agents </w:t>
      </w:r>
      <w:r w:rsidR="008E344D">
        <w:t xml:space="preserve">and </w:t>
      </w:r>
      <w:r w:rsidR="001A36CD">
        <w:t>wholesalers</w:t>
      </w:r>
      <w:r w:rsidR="003D214B">
        <w:t xml:space="preserve">), and insurers using </w:t>
      </w:r>
      <w:r w:rsidR="001A36CD">
        <w:t xml:space="preserve">independent agents </w:t>
      </w:r>
      <w:r w:rsidR="002E5837">
        <w:t>with</w:t>
      </w:r>
      <w:r w:rsidR="001A36CD">
        <w:t xml:space="preserve"> other </w:t>
      </w:r>
      <w:r w:rsidR="00924B44">
        <w:t xml:space="preserve">types of </w:t>
      </w:r>
      <w:r w:rsidR="001A36CD">
        <w:t xml:space="preserve">marketing.  </w:t>
      </w:r>
      <w:r w:rsidR="00A15C82">
        <w:t xml:space="preserve">Table 10 shows comparison percentages for the United States.  </w:t>
      </w:r>
      <w:bookmarkEnd w:id="5"/>
      <w:r w:rsidR="00AF2143">
        <w:t>I</w:t>
      </w:r>
      <w:r w:rsidR="001E3E27">
        <w:t xml:space="preserve">nformation on the classification of insurers </w:t>
      </w:r>
      <w:r w:rsidR="00B440E4">
        <w:t xml:space="preserve">into </w:t>
      </w:r>
      <w:r w:rsidR="001E3E27">
        <w:t xml:space="preserve">distribution styles is contained in </w:t>
      </w:r>
      <w:r w:rsidR="007E21A8" w:rsidRPr="007E21A8">
        <w:rPr>
          <w:i/>
          <w:iCs/>
        </w:rPr>
        <w:t>Appendix #2</w:t>
      </w:r>
      <w:r w:rsidR="00AC1A66">
        <w:rPr>
          <w:i/>
          <w:iCs/>
        </w:rPr>
        <w:t xml:space="preserve"> – </w:t>
      </w:r>
      <w:r w:rsidR="007E21A8" w:rsidRPr="007E21A8">
        <w:rPr>
          <w:i/>
          <w:iCs/>
        </w:rPr>
        <w:t>Annual vs. Quarterly P-C Summaries</w:t>
      </w:r>
      <w:r w:rsidR="00924B44">
        <w:t>.</w:t>
      </w:r>
    </w:p>
    <w:p w14:paraId="08FA61DB" w14:textId="0D71B61B" w:rsidR="00710446" w:rsidRPr="00FB1207" w:rsidRDefault="00CF690E" w:rsidP="00FB1207">
      <w:pPr>
        <w:pStyle w:val="Heading1-NoCollasping"/>
      </w:pPr>
      <w:r w:rsidRPr="00FB1207">
        <w:lastRenderedPageBreak/>
        <w:t xml:space="preserve">Regulation and Premiums: </w:t>
      </w:r>
      <w:r w:rsidR="0093560A" w:rsidRPr="00FB1207">
        <w:t xml:space="preserve">Admitted, </w:t>
      </w:r>
      <w:r w:rsidRPr="00FB1207">
        <w:t>E&amp;S</w:t>
      </w:r>
      <w:r w:rsidR="0093560A" w:rsidRPr="00FB1207">
        <w:t xml:space="preserve"> and </w:t>
      </w:r>
      <w:r w:rsidRPr="00FB1207">
        <w:t>RRGs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C2CFB" w14:paraId="31527CC6" w14:textId="77777777" w:rsidTr="00954D99">
        <w:tc>
          <w:tcPr>
            <w:tcW w:w="3120" w:type="dxa"/>
          </w:tcPr>
          <w:p w14:paraId="445294E6" w14:textId="3B3DD14D" w:rsidR="008C2CFB" w:rsidRDefault="007A6828" w:rsidP="00233CD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066F484A" wp14:editId="2559C6B7">
                  <wp:extent cx="1828800" cy="12223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2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2F271BD7" w14:textId="1120870E" w:rsidR="008C2CFB" w:rsidRDefault="007A6828" w:rsidP="00233CD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3B5B9210" wp14:editId="5369852E">
                  <wp:extent cx="1828800" cy="122834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8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0A63CA3F" w14:textId="6DC1046D" w:rsidR="008C2CFB" w:rsidRDefault="007A6828" w:rsidP="00233CD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07B2709D" wp14:editId="05E0E0FC">
                  <wp:extent cx="1828800" cy="1232647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32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DD5" w:rsidRPr="00992DF1" w14:paraId="0D7F14B3" w14:textId="77777777" w:rsidTr="00C33CD2">
        <w:tc>
          <w:tcPr>
            <w:tcW w:w="3120" w:type="dxa"/>
          </w:tcPr>
          <w:p w14:paraId="6BC9695C" w14:textId="6EE9FF3F" w:rsidR="00D91DD5" w:rsidRPr="00992DF1" w:rsidRDefault="00D91DD5" w:rsidP="00C33CD2">
            <w:pPr>
              <w:rPr>
                <w:rStyle w:val="SubtleEmphasis"/>
                <w:i w:val="0"/>
                <w:iCs w:val="0"/>
              </w:rPr>
            </w:pPr>
            <w:r w:rsidRPr="00992DF1">
              <w:rPr>
                <w:rStyle w:val="SubtleEmphasis"/>
                <w:i w:val="0"/>
                <w:iCs w:val="0"/>
              </w:rPr>
              <w:t>Figure 1</w:t>
            </w:r>
            <w:r w:rsidR="00B440E4" w:rsidRPr="00992DF1">
              <w:rPr>
                <w:rStyle w:val="SubtleEmphasis"/>
                <w:i w:val="0"/>
                <w:iCs w:val="0"/>
              </w:rPr>
              <w:t>1</w:t>
            </w:r>
          </w:p>
        </w:tc>
        <w:tc>
          <w:tcPr>
            <w:tcW w:w="3120" w:type="dxa"/>
          </w:tcPr>
          <w:p w14:paraId="28DBCD82" w14:textId="5B9B2EE6" w:rsidR="00D91DD5" w:rsidRPr="00992DF1" w:rsidRDefault="00D91DD5" w:rsidP="00C33CD2">
            <w:pPr>
              <w:rPr>
                <w:rStyle w:val="SubtleEmphasis"/>
                <w:i w:val="0"/>
                <w:iCs w:val="0"/>
              </w:rPr>
            </w:pPr>
            <w:r w:rsidRPr="00992DF1">
              <w:rPr>
                <w:rStyle w:val="SubtleEmphasis"/>
                <w:i w:val="0"/>
                <w:iCs w:val="0"/>
              </w:rPr>
              <w:t>Figure 1</w:t>
            </w:r>
            <w:r w:rsidR="00B440E4" w:rsidRPr="00992DF1">
              <w:rPr>
                <w:rStyle w:val="SubtleEmphasis"/>
                <w:i w:val="0"/>
                <w:iCs w:val="0"/>
              </w:rPr>
              <w:t>2</w:t>
            </w:r>
          </w:p>
        </w:tc>
        <w:tc>
          <w:tcPr>
            <w:tcW w:w="3120" w:type="dxa"/>
          </w:tcPr>
          <w:p w14:paraId="1367BB09" w14:textId="5367051C" w:rsidR="00D91DD5" w:rsidRPr="00992DF1" w:rsidRDefault="00D91DD5" w:rsidP="00C33CD2">
            <w:pPr>
              <w:rPr>
                <w:rStyle w:val="SubtleEmphasis"/>
                <w:i w:val="0"/>
                <w:iCs w:val="0"/>
              </w:rPr>
            </w:pPr>
            <w:r w:rsidRPr="00992DF1">
              <w:rPr>
                <w:rStyle w:val="SubtleEmphasis"/>
                <w:i w:val="0"/>
                <w:iCs w:val="0"/>
              </w:rPr>
              <w:t>Figure 1</w:t>
            </w:r>
            <w:r w:rsidR="00B440E4" w:rsidRPr="00992DF1">
              <w:rPr>
                <w:rStyle w:val="SubtleEmphasis"/>
                <w:i w:val="0"/>
                <w:iCs w:val="0"/>
              </w:rPr>
              <w:t>3</w:t>
            </w:r>
          </w:p>
        </w:tc>
      </w:tr>
      <w:tr w:rsidR="00D91DD5" w:rsidRPr="00992DF1" w14:paraId="6593A262" w14:textId="77777777" w:rsidTr="00954D99">
        <w:tc>
          <w:tcPr>
            <w:tcW w:w="3120" w:type="dxa"/>
          </w:tcPr>
          <w:p w14:paraId="73722CD2" w14:textId="77777777" w:rsidR="00D91DD5" w:rsidRPr="00992DF1" w:rsidRDefault="00D91DD5" w:rsidP="00233CD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7E2E5F95" w14:textId="77777777" w:rsidR="00D91DD5" w:rsidRPr="00992DF1" w:rsidRDefault="00D91DD5" w:rsidP="00233CD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5415DB87" w14:textId="77777777" w:rsidR="00D91DD5" w:rsidRPr="00992DF1" w:rsidRDefault="00D91DD5" w:rsidP="00233CD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233CD0" w14:paraId="43666A49" w14:textId="77777777" w:rsidTr="00954D99"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7A6828" w:rsidRPr="007A6828" w14:paraId="6C84B2DA" w14:textId="77777777" w:rsidTr="007A6828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D859D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Q1-to-Q1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BAD00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8D874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7A6828" w:rsidRPr="007A6828" w14:paraId="2CCF06F9" w14:textId="77777777" w:rsidTr="007A6828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E57CC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14.0%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AF7AA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12.3%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C0456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8.7%</w:t>
                  </w:r>
                </w:p>
              </w:tc>
            </w:tr>
            <w:tr w:rsidR="007A6828" w:rsidRPr="007A6828" w14:paraId="6CD520CF" w14:textId="77777777" w:rsidTr="007A6828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4B4CFC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$5,855,067,000</w:t>
                  </w:r>
                </w:p>
              </w:tc>
            </w:tr>
          </w:tbl>
          <w:p w14:paraId="78F85EB1" w14:textId="77777777" w:rsidR="00233CD0" w:rsidRDefault="00233CD0" w:rsidP="004C01BA">
            <w:pPr>
              <w:rPr>
                <w:rStyle w:val="SubtleEmphasis"/>
              </w:rPr>
            </w:pPr>
          </w:p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7A6828" w:rsidRPr="007A6828" w14:paraId="322E5617" w14:textId="77777777" w:rsidTr="007A6828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28BA1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Q1-to-Q1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38DB5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03A04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7A6828" w:rsidRPr="007A6828" w14:paraId="7638399C" w14:textId="77777777" w:rsidTr="007A6828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97165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22.9%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00826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18.7%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54A81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11.1%</w:t>
                  </w:r>
                </w:p>
              </w:tc>
            </w:tr>
            <w:tr w:rsidR="007A6828" w:rsidRPr="007A6828" w14:paraId="38AB4673" w14:textId="77777777" w:rsidTr="007A6828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071486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$208,724,000</w:t>
                  </w:r>
                </w:p>
              </w:tc>
            </w:tr>
          </w:tbl>
          <w:p w14:paraId="6B559C9E" w14:textId="77777777" w:rsidR="00233CD0" w:rsidRDefault="00233CD0" w:rsidP="004C01BA">
            <w:pPr>
              <w:rPr>
                <w:rStyle w:val="SubtleEmphasis"/>
              </w:rPr>
            </w:pPr>
          </w:p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7A6828" w:rsidRPr="007A6828" w14:paraId="428E2929" w14:textId="77777777" w:rsidTr="007A6828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1523D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Q1-to-Q1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CB4D3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1B1C9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7A6828" w:rsidRPr="007A6828" w14:paraId="1374A4FC" w14:textId="77777777" w:rsidTr="007A6828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DEC20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63.9%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8667D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-45.1%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07B3D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-14.2%</w:t>
                  </w:r>
                </w:p>
              </w:tc>
            </w:tr>
            <w:tr w:rsidR="007A6828" w:rsidRPr="007A6828" w14:paraId="3BBB1F93" w14:textId="77777777" w:rsidTr="007A6828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EA1882" w14:textId="77777777" w:rsidR="007A6828" w:rsidRPr="007A6828" w:rsidRDefault="007A6828" w:rsidP="007A68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7A68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$9,289,000</w:t>
                  </w:r>
                </w:p>
              </w:tc>
            </w:tr>
          </w:tbl>
          <w:p w14:paraId="4E663E07" w14:textId="77777777" w:rsidR="00233CD0" w:rsidRDefault="00233CD0" w:rsidP="004C01BA">
            <w:pPr>
              <w:rPr>
                <w:rStyle w:val="SubtleEmphasis"/>
              </w:rPr>
            </w:pPr>
          </w:p>
        </w:tc>
      </w:tr>
      <w:tr w:rsidR="00233CD0" w:rsidRPr="00992DF1" w14:paraId="1036AA61" w14:textId="77777777" w:rsidTr="00954D99">
        <w:tc>
          <w:tcPr>
            <w:tcW w:w="3120" w:type="dxa"/>
          </w:tcPr>
          <w:p w14:paraId="4B0840E5" w14:textId="2FE277AF" w:rsidR="00233CD0" w:rsidRPr="00992DF1" w:rsidRDefault="00B440E4" w:rsidP="004C01BA">
            <w:pPr>
              <w:rPr>
                <w:rStyle w:val="SubtleEmphasis"/>
                <w:i w:val="0"/>
                <w:iCs w:val="0"/>
              </w:rPr>
            </w:pPr>
            <w:r w:rsidRPr="00992DF1">
              <w:rPr>
                <w:rStyle w:val="SubtleEmphasis"/>
                <w:i w:val="0"/>
                <w:iCs w:val="0"/>
              </w:rPr>
              <w:t>Table</w:t>
            </w:r>
            <w:r w:rsidR="0077092A" w:rsidRPr="00992DF1">
              <w:rPr>
                <w:rStyle w:val="SubtleEmphasis"/>
                <w:i w:val="0"/>
                <w:iCs w:val="0"/>
              </w:rPr>
              <w:t xml:space="preserve"> 1</w:t>
            </w:r>
            <w:r w:rsidRPr="00992DF1">
              <w:rPr>
                <w:rStyle w:val="SubtleEmphasis"/>
                <w:i w:val="0"/>
                <w:iCs w:val="0"/>
              </w:rPr>
              <w:t>1</w:t>
            </w:r>
          </w:p>
        </w:tc>
        <w:tc>
          <w:tcPr>
            <w:tcW w:w="3120" w:type="dxa"/>
          </w:tcPr>
          <w:p w14:paraId="16AE6AE2" w14:textId="59B0FFD5" w:rsidR="00233CD0" w:rsidRPr="00992DF1" w:rsidRDefault="00B440E4" w:rsidP="004C01BA">
            <w:pPr>
              <w:rPr>
                <w:rStyle w:val="SubtleEmphasis"/>
                <w:i w:val="0"/>
                <w:iCs w:val="0"/>
              </w:rPr>
            </w:pPr>
            <w:r w:rsidRPr="00992DF1">
              <w:rPr>
                <w:rStyle w:val="SubtleEmphasis"/>
                <w:i w:val="0"/>
                <w:iCs w:val="0"/>
              </w:rPr>
              <w:t>Table</w:t>
            </w:r>
            <w:r w:rsidR="0077092A" w:rsidRPr="00992DF1">
              <w:rPr>
                <w:rStyle w:val="SubtleEmphasis"/>
                <w:i w:val="0"/>
                <w:iCs w:val="0"/>
              </w:rPr>
              <w:t xml:space="preserve"> 1</w:t>
            </w:r>
            <w:r w:rsidRPr="00992DF1">
              <w:rPr>
                <w:rStyle w:val="SubtleEmphasis"/>
                <w:i w:val="0"/>
                <w:iCs w:val="0"/>
              </w:rPr>
              <w:t>2</w:t>
            </w:r>
          </w:p>
        </w:tc>
        <w:tc>
          <w:tcPr>
            <w:tcW w:w="3120" w:type="dxa"/>
          </w:tcPr>
          <w:p w14:paraId="3C4723D6" w14:textId="7B16A3E3" w:rsidR="00233CD0" w:rsidRPr="00992DF1" w:rsidRDefault="00B440E4" w:rsidP="004C01BA">
            <w:pPr>
              <w:rPr>
                <w:rStyle w:val="SubtleEmphasis"/>
                <w:i w:val="0"/>
                <w:iCs w:val="0"/>
              </w:rPr>
            </w:pPr>
            <w:r w:rsidRPr="00992DF1">
              <w:rPr>
                <w:rStyle w:val="SubtleEmphasis"/>
                <w:i w:val="0"/>
                <w:iCs w:val="0"/>
              </w:rPr>
              <w:t>Table</w:t>
            </w:r>
            <w:r w:rsidR="0077092A" w:rsidRPr="00992DF1">
              <w:rPr>
                <w:rStyle w:val="SubtleEmphasis"/>
                <w:i w:val="0"/>
                <w:iCs w:val="0"/>
              </w:rPr>
              <w:t xml:space="preserve"> 1</w:t>
            </w:r>
            <w:r w:rsidRPr="00992DF1">
              <w:rPr>
                <w:rStyle w:val="SubtleEmphasis"/>
                <w:i w:val="0"/>
                <w:iCs w:val="0"/>
              </w:rPr>
              <w:t>3</w:t>
            </w:r>
          </w:p>
        </w:tc>
      </w:tr>
    </w:tbl>
    <w:p w14:paraId="0D05CCCF" w14:textId="0187E167" w:rsidR="00355A84" w:rsidRPr="00B91DF3" w:rsidRDefault="00355A84" w:rsidP="00B440E4">
      <w:pPr>
        <w:rPr>
          <w:rStyle w:val="SubtleEmphasis"/>
          <w:i w:val="0"/>
          <w:iCs w:val="0"/>
          <w:color w:val="auto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5"/>
        <w:gridCol w:w="2609"/>
        <w:gridCol w:w="2162"/>
        <w:gridCol w:w="2244"/>
      </w:tblGrid>
      <w:tr w:rsidR="00B440E4" w:rsidRPr="00EE2A4E" w14:paraId="3510E456" w14:textId="77777777" w:rsidTr="00B440E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836E" w14:textId="6DE2503C" w:rsidR="00B440E4" w:rsidRPr="0070717C" w:rsidRDefault="00B440E4" w:rsidP="00B44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44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United States </w:t>
            </w:r>
            <w:r w:rsidR="00BF69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Premium Growth-</w:t>
            </w:r>
            <w:r w:rsidRPr="00B44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Percentage</w:t>
            </w:r>
            <w:r w:rsidR="00BF69AC" w:rsidRPr="00B44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Comparison</w:t>
            </w:r>
            <w:r w:rsidR="00BF69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4C01BA" w:rsidRPr="00EE2A4E" w14:paraId="0006AC90" w14:textId="77777777" w:rsidTr="00C266ED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A3E" w14:textId="0949464D" w:rsidR="004C01BA" w:rsidRPr="0070717C" w:rsidRDefault="00C76B4C" w:rsidP="00C26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1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9FA8" w14:textId="77777777" w:rsidR="004C01BA" w:rsidRPr="0070717C" w:rsidRDefault="004C01BA" w:rsidP="00C26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1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Admitted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F6B" w14:textId="77777777" w:rsidR="004C01BA" w:rsidRPr="0070717C" w:rsidRDefault="004C01BA" w:rsidP="00C26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1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E&amp;S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8F56" w14:textId="77777777" w:rsidR="004C01BA" w:rsidRPr="0070717C" w:rsidRDefault="004C01BA" w:rsidP="00C26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1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RRGs</w:t>
            </w:r>
          </w:p>
        </w:tc>
      </w:tr>
      <w:tr w:rsidR="00170697" w:rsidRPr="00E35600" w14:paraId="6B6B63F1" w14:textId="77777777" w:rsidTr="00C266ED">
        <w:trPr>
          <w:trHeight w:val="2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CD62" w14:textId="2F8DCE76" w:rsidR="00170697" w:rsidRPr="0070717C" w:rsidRDefault="00170697" w:rsidP="00170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Q1-to-Q1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DD80" w14:textId="16E15345" w:rsidR="00170697" w:rsidRPr="0070717C" w:rsidRDefault="00170697" w:rsidP="00170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81F" w14:textId="1B5E7C7B" w:rsidR="00170697" w:rsidRPr="0070717C" w:rsidRDefault="00170697" w:rsidP="00170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27.1%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20F7" w14:textId="5B513CB7" w:rsidR="00170697" w:rsidRPr="0070717C" w:rsidRDefault="00170697" w:rsidP="00170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7.7%</w:t>
            </w:r>
          </w:p>
        </w:tc>
      </w:tr>
      <w:tr w:rsidR="00170697" w:rsidRPr="00E35600" w14:paraId="72B50B2A" w14:textId="77777777" w:rsidTr="00C266ED">
        <w:trPr>
          <w:trHeight w:val="2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7F2" w14:textId="77777777" w:rsidR="00170697" w:rsidRPr="0070717C" w:rsidRDefault="00170697" w:rsidP="00170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Rolling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77E6" w14:textId="6497156C" w:rsidR="00170697" w:rsidRPr="0070717C" w:rsidRDefault="00170697" w:rsidP="00170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A1B" w14:textId="77E98057" w:rsidR="00170697" w:rsidRPr="0070717C" w:rsidRDefault="00170697" w:rsidP="00170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29.7%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D8B2" w14:textId="5C3C8B64" w:rsidR="00170697" w:rsidRPr="0070717C" w:rsidRDefault="00170697" w:rsidP="00170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12.9%</w:t>
            </w:r>
          </w:p>
        </w:tc>
      </w:tr>
      <w:tr w:rsidR="00170697" w:rsidRPr="00E35600" w14:paraId="054EC9E7" w14:textId="77777777" w:rsidTr="005B29FE">
        <w:trPr>
          <w:trHeight w:val="2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36AE" w14:textId="77777777" w:rsidR="00170697" w:rsidRPr="0070717C" w:rsidRDefault="00170697" w:rsidP="00170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4C2" w14:textId="6B86287C" w:rsidR="00170697" w:rsidRPr="0070717C" w:rsidRDefault="00170697" w:rsidP="00170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E41" w14:textId="74ECD908" w:rsidR="00170697" w:rsidRPr="0070717C" w:rsidRDefault="00170697" w:rsidP="00170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18.3%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445" w14:textId="1B5E92DA" w:rsidR="00170697" w:rsidRPr="0070717C" w:rsidRDefault="00170697" w:rsidP="00170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17C">
              <w:rPr>
                <w:rFonts w:ascii="Calibri" w:hAnsi="Calibri" w:cs="Calibri"/>
                <w:color w:val="000000"/>
                <w:sz w:val="18"/>
                <w:szCs w:val="18"/>
              </w:rPr>
              <w:t>8.5%</w:t>
            </w:r>
          </w:p>
        </w:tc>
      </w:tr>
      <w:tr w:rsidR="005B29FE" w:rsidRPr="00C52509" w14:paraId="25323265" w14:textId="77777777" w:rsidTr="005B29FE">
        <w:trPr>
          <w:trHeight w:val="20"/>
        </w:trPr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2603FB" w14:textId="58F3094B" w:rsidR="005B29FE" w:rsidRPr="00C52509" w:rsidRDefault="005B29FE" w:rsidP="00170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2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Table 14</w:t>
            </w:r>
          </w:p>
        </w:tc>
        <w:tc>
          <w:tcPr>
            <w:tcW w:w="13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73AE17" w14:textId="77777777" w:rsidR="005B29FE" w:rsidRPr="00C52509" w:rsidRDefault="005B29FE" w:rsidP="001706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EA9693" w14:textId="77777777" w:rsidR="005B29FE" w:rsidRPr="00C52509" w:rsidRDefault="005B29FE" w:rsidP="001706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9F66A9" w14:textId="77777777" w:rsidR="005B29FE" w:rsidRPr="00C52509" w:rsidRDefault="005B29FE" w:rsidP="001706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B2395D0" w14:textId="0D466EE6" w:rsidR="00DC6B23" w:rsidRPr="00DD386D" w:rsidRDefault="00DC6B23" w:rsidP="00DD386D">
      <w:pPr>
        <w:pStyle w:val="FiguresandAMBestSource"/>
        <w:rPr>
          <w:rStyle w:val="SubtleEmphasis"/>
          <w:i w:val="0"/>
          <w:iCs w:val="0"/>
          <w:color w:val="auto"/>
        </w:rPr>
      </w:pPr>
      <w:r w:rsidRPr="00DD386D">
        <w:rPr>
          <w:rStyle w:val="SubtleEmphasis"/>
          <w:i w:val="0"/>
          <w:iCs w:val="0"/>
          <w:color w:val="auto"/>
        </w:rPr>
        <w:t>Source: © A.M. Best Company — used by permission.</w:t>
      </w:r>
    </w:p>
    <w:p w14:paraId="6B86BB14" w14:textId="77777777" w:rsidR="00536A52" w:rsidRDefault="00917021" w:rsidP="00536A52">
      <w:pPr>
        <w:pStyle w:val="NotesorCommetns"/>
      </w:pPr>
      <w:r>
        <w:t>Notes:</w:t>
      </w:r>
    </w:p>
    <w:p w14:paraId="46776877" w14:textId="70D1DE09" w:rsidR="004A0098" w:rsidRDefault="002F2AB0" w:rsidP="00536A52">
      <w:pPr>
        <w:pStyle w:val="NotesorCommetns"/>
        <w:rPr>
          <w:b w:val="0"/>
          <w:bCs w:val="0"/>
          <w:u w:val="none"/>
        </w:rPr>
      </w:pPr>
      <w:r w:rsidRPr="00536A52">
        <w:rPr>
          <w:b w:val="0"/>
          <w:bCs w:val="0"/>
          <w:u w:val="none"/>
        </w:rPr>
        <w:t xml:space="preserve">Figures </w:t>
      </w:r>
      <w:r w:rsidR="00992DF1">
        <w:rPr>
          <w:b w:val="0"/>
          <w:bCs w:val="0"/>
          <w:u w:val="none"/>
        </w:rPr>
        <w:t>and Table</w:t>
      </w:r>
      <w:r w:rsidR="005B29FE">
        <w:rPr>
          <w:b w:val="0"/>
          <w:bCs w:val="0"/>
          <w:u w:val="none"/>
        </w:rPr>
        <w:t>s</w:t>
      </w:r>
      <w:r w:rsidR="00992DF1">
        <w:rPr>
          <w:b w:val="0"/>
          <w:bCs w:val="0"/>
          <w:u w:val="none"/>
        </w:rPr>
        <w:t xml:space="preserve"> </w:t>
      </w:r>
      <w:r w:rsidRPr="00536A52">
        <w:rPr>
          <w:b w:val="0"/>
          <w:bCs w:val="0"/>
          <w:u w:val="none"/>
        </w:rPr>
        <w:t>1</w:t>
      </w:r>
      <w:r w:rsidR="00C52509">
        <w:rPr>
          <w:b w:val="0"/>
          <w:bCs w:val="0"/>
          <w:u w:val="none"/>
        </w:rPr>
        <w:t>1</w:t>
      </w:r>
      <w:r w:rsidR="00992DF1">
        <w:rPr>
          <w:b w:val="0"/>
          <w:bCs w:val="0"/>
          <w:u w:val="none"/>
        </w:rPr>
        <w:t>-</w:t>
      </w:r>
      <w:r w:rsidRPr="00536A52">
        <w:rPr>
          <w:b w:val="0"/>
          <w:bCs w:val="0"/>
          <w:u w:val="none"/>
        </w:rPr>
        <w:t>1</w:t>
      </w:r>
      <w:r w:rsidR="00C52509">
        <w:rPr>
          <w:b w:val="0"/>
          <w:bCs w:val="0"/>
          <w:u w:val="none"/>
        </w:rPr>
        <w:t>3</w:t>
      </w:r>
      <w:r w:rsidRPr="00536A52">
        <w:rPr>
          <w:b w:val="0"/>
          <w:bCs w:val="0"/>
          <w:u w:val="none"/>
        </w:rPr>
        <w:t xml:space="preserve"> </w:t>
      </w:r>
      <w:r w:rsidR="00933F79" w:rsidRPr="00536A52">
        <w:rPr>
          <w:b w:val="0"/>
          <w:bCs w:val="0"/>
          <w:u w:val="none"/>
        </w:rPr>
        <w:t xml:space="preserve">show the </w:t>
      </w:r>
      <w:r w:rsidR="00006B17">
        <w:rPr>
          <w:b w:val="0"/>
          <w:bCs w:val="0"/>
          <w:u w:val="none"/>
        </w:rPr>
        <w:t>Nebraska</w:t>
      </w:r>
      <w:r w:rsidR="00933F79" w:rsidRPr="00536A52">
        <w:rPr>
          <w:b w:val="0"/>
          <w:bCs w:val="0"/>
          <w:u w:val="none"/>
        </w:rPr>
        <w:t xml:space="preserve"> premiums broken out into the predominant regulatory regime applying to the insurer.  The premiums shown in </w:t>
      </w:r>
      <w:r w:rsidR="005B29FE">
        <w:rPr>
          <w:b w:val="0"/>
          <w:bCs w:val="0"/>
          <w:u w:val="none"/>
        </w:rPr>
        <w:t>Figures 1</w:t>
      </w:r>
      <w:r w:rsidR="00A15C82">
        <w:rPr>
          <w:b w:val="0"/>
          <w:bCs w:val="0"/>
          <w:u w:val="none"/>
        </w:rPr>
        <w:t>1</w:t>
      </w:r>
      <w:r w:rsidR="005B29FE">
        <w:rPr>
          <w:b w:val="0"/>
          <w:bCs w:val="0"/>
          <w:u w:val="none"/>
        </w:rPr>
        <w:t>-1</w:t>
      </w:r>
      <w:r w:rsidR="00A15C82">
        <w:rPr>
          <w:b w:val="0"/>
          <w:bCs w:val="0"/>
          <w:u w:val="none"/>
        </w:rPr>
        <w:t>3</w:t>
      </w:r>
      <w:r w:rsidR="00933F79" w:rsidRPr="00536A52">
        <w:rPr>
          <w:b w:val="0"/>
          <w:bCs w:val="0"/>
          <w:u w:val="none"/>
        </w:rPr>
        <w:t xml:space="preserve"> are the sum of the individual insurers</w:t>
      </w:r>
      <w:r w:rsidR="005B29FE">
        <w:rPr>
          <w:b w:val="0"/>
          <w:bCs w:val="0"/>
          <w:u w:val="none"/>
        </w:rPr>
        <w:t xml:space="preserve"> </w:t>
      </w:r>
      <w:r w:rsidR="00933F79" w:rsidRPr="00536A52">
        <w:rPr>
          <w:b w:val="0"/>
          <w:bCs w:val="0"/>
          <w:u w:val="none"/>
        </w:rPr>
        <w:t>classified as Admitted</w:t>
      </w:r>
      <w:r w:rsidR="008A5143">
        <w:rPr>
          <w:b w:val="0"/>
          <w:bCs w:val="0"/>
          <w:u w:val="none"/>
        </w:rPr>
        <w:t>,</w:t>
      </w:r>
      <w:r w:rsidR="00933F79" w:rsidRPr="00536A52">
        <w:rPr>
          <w:b w:val="0"/>
          <w:bCs w:val="0"/>
          <w:u w:val="none"/>
        </w:rPr>
        <w:t xml:space="preserve"> E&amp;S, and Risk Retention Groups.</w:t>
      </w:r>
      <w:r w:rsidR="004A0098" w:rsidRPr="00536A52">
        <w:rPr>
          <w:b w:val="0"/>
          <w:bCs w:val="0"/>
          <w:u w:val="none"/>
        </w:rPr>
        <w:t xml:space="preserve">  </w:t>
      </w:r>
      <w:r w:rsidR="008A5143">
        <w:rPr>
          <w:b w:val="0"/>
          <w:bCs w:val="0"/>
          <w:u w:val="none"/>
        </w:rPr>
        <w:t xml:space="preserve">Admitted insurers are </w:t>
      </w:r>
      <w:r w:rsidR="008A5143" w:rsidRPr="00536A52">
        <w:rPr>
          <w:b w:val="0"/>
          <w:bCs w:val="0"/>
          <w:u w:val="none"/>
        </w:rPr>
        <w:t>the most closely regulated for solvency, rates</w:t>
      </w:r>
      <w:r w:rsidR="008A5143">
        <w:rPr>
          <w:b w:val="0"/>
          <w:bCs w:val="0"/>
          <w:u w:val="none"/>
        </w:rPr>
        <w:t>,</w:t>
      </w:r>
      <w:r w:rsidR="008A5143" w:rsidRPr="00536A52">
        <w:rPr>
          <w:b w:val="0"/>
          <w:bCs w:val="0"/>
          <w:u w:val="none"/>
        </w:rPr>
        <w:t xml:space="preserve"> and forms and </w:t>
      </w:r>
      <w:r w:rsidR="008A5143">
        <w:rPr>
          <w:b w:val="0"/>
          <w:bCs w:val="0"/>
          <w:u w:val="none"/>
        </w:rPr>
        <w:t xml:space="preserve">are </w:t>
      </w:r>
      <w:r w:rsidR="008A5143" w:rsidRPr="00536A52">
        <w:rPr>
          <w:b w:val="0"/>
          <w:bCs w:val="0"/>
          <w:u w:val="none"/>
        </w:rPr>
        <w:t>generally covered by the state guaranty fund</w:t>
      </w:r>
      <w:r w:rsidR="008A5143">
        <w:rPr>
          <w:b w:val="0"/>
          <w:bCs w:val="0"/>
          <w:u w:val="none"/>
        </w:rPr>
        <w:t xml:space="preserve">.  E&amp;S insurers are </w:t>
      </w:r>
      <w:r w:rsidR="008A5143" w:rsidRPr="00536A52">
        <w:rPr>
          <w:b w:val="0"/>
          <w:bCs w:val="0"/>
          <w:u w:val="none"/>
        </w:rPr>
        <w:t>less regulated and called excess &amp; surplus lines, surplus lines or non-admitted</w:t>
      </w:r>
      <w:r w:rsidR="008A5143">
        <w:rPr>
          <w:b w:val="0"/>
          <w:bCs w:val="0"/>
          <w:u w:val="none"/>
        </w:rPr>
        <w:t xml:space="preserve">.  </w:t>
      </w:r>
      <w:proofErr w:type="gramStart"/>
      <w:r w:rsidR="008A5143">
        <w:rPr>
          <w:b w:val="0"/>
          <w:bCs w:val="0"/>
          <w:u w:val="none"/>
        </w:rPr>
        <w:t>And,</w:t>
      </w:r>
      <w:proofErr w:type="gramEnd"/>
      <w:r w:rsidR="008A5143">
        <w:rPr>
          <w:b w:val="0"/>
          <w:bCs w:val="0"/>
          <w:u w:val="none"/>
        </w:rPr>
        <w:t xml:space="preserve"> Risk Retention Groups are </w:t>
      </w:r>
      <w:r w:rsidR="008A5143" w:rsidRPr="00536A52">
        <w:rPr>
          <w:b w:val="0"/>
          <w:bCs w:val="0"/>
          <w:u w:val="none"/>
        </w:rPr>
        <w:t>subject to a combination of federal and state rules and regulation</w:t>
      </w:r>
      <w:r w:rsidR="008A5143">
        <w:rPr>
          <w:b w:val="0"/>
          <w:bCs w:val="0"/>
          <w:u w:val="none"/>
        </w:rPr>
        <w:t>s</w:t>
      </w:r>
      <w:r w:rsidR="008A5143" w:rsidRPr="00536A52">
        <w:rPr>
          <w:b w:val="0"/>
          <w:bCs w:val="0"/>
          <w:u w:val="none"/>
        </w:rPr>
        <w:t xml:space="preserve"> and </w:t>
      </w:r>
      <w:r w:rsidR="008A5143">
        <w:rPr>
          <w:b w:val="0"/>
          <w:bCs w:val="0"/>
          <w:u w:val="none"/>
        </w:rPr>
        <w:t xml:space="preserve">are </w:t>
      </w:r>
      <w:r w:rsidR="008A5143" w:rsidRPr="00536A52">
        <w:rPr>
          <w:b w:val="0"/>
          <w:bCs w:val="0"/>
          <w:u w:val="none"/>
        </w:rPr>
        <w:t>often referred to as RRGs</w:t>
      </w:r>
      <w:r w:rsidR="008A5143">
        <w:rPr>
          <w:b w:val="0"/>
          <w:bCs w:val="0"/>
          <w:u w:val="none"/>
        </w:rPr>
        <w:t xml:space="preserve">. </w:t>
      </w:r>
      <w:r w:rsidR="00C52509">
        <w:rPr>
          <w:b w:val="0"/>
          <w:bCs w:val="0"/>
          <w:u w:val="none"/>
        </w:rPr>
        <w:t>T</w:t>
      </w:r>
      <w:r w:rsidR="005B29FE">
        <w:rPr>
          <w:b w:val="0"/>
          <w:bCs w:val="0"/>
          <w:u w:val="none"/>
        </w:rPr>
        <w:t xml:space="preserve">he </w:t>
      </w:r>
      <w:r w:rsidR="005B29FE" w:rsidRPr="005B29FE">
        <w:rPr>
          <w:b w:val="0"/>
          <w:bCs w:val="0"/>
          <w:u w:val="none"/>
        </w:rPr>
        <w:t xml:space="preserve">percentage growth rates for </w:t>
      </w:r>
      <w:r w:rsidR="00006B17">
        <w:rPr>
          <w:b w:val="0"/>
          <w:bCs w:val="0"/>
          <w:u w:val="none"/>
        </w:rPr>
        <w:t>Nebraska</w:t>
      </w:r>
      <w:r w:rsidR="005B29FE" w:rsidRPr="005B29FE">
        <w:rPr>
          <w:b w:val="0"/>
          <w:bCs w:val="0"/>
          <w:u w:val="none"/>
        </w:rPr>
        <w:t xml:space="preserve"> </w:t>
      </w:r>
      <w:r w:rsidR="005B29FE">
        <w:rPr>
          <w:b w:val="0"/>
          <w:bCs w:val="0"/>
          <w:u w:val="none"/>
        </w:rPr>
        <w:t>and each regulatory regime</w:t>
      </w:r>
      <w:r w:rsidR="00C52509">
        <w:rPr>
          <w:b w:val="0"/>
          <w:bCs w:val="0"/>
          <w:u w:val="none"/>
        </w:rPr>
        <w:t xml:space="preserve"> are presented in Tables 11-13</w:t>
      </w:r>
      <w:r w:rsidR="00A15C82">
        <w:rPr>
          <w:b w:val="0"/>
          <w:bCs w:val="0"/>
          <w:u w:val="none"/>
        </w:rPr>
        <w:t xml:space="preserve"> with total premiums applicable</w:t>
      </w:r>
      <w:r w:rsidR="004A0098" w:rsidRPr="00536A52">
        <w:rPr>
          <w:b w:val="0"/>
          <w:bCs w:val="0"/>
          <w:u w:val="none"/>
        </w:rPr>
        <w:t>.</w:t>
      </w:r>
      <w:r w:rsidR="005B29FE">
        <w:rPr>
          <w:b w:val="0"/>
          <w:bCs w:val="0"/>
          <w:u w:val="none"/>
        </w:rPr>
        <w:t xml:space="preserve">  Table </w:t>
      </w:r>
      <w:r w:rsidR="00C52509">
        <w:rPr>
          <w:b w:val="0"/>
          <w:bCs w:val="0"/>
          <w:u w:val="none"/>
        </w:rPr>
        <w:t xml:space="preserve">14 </w:t>
      </w:r>
      <w:r w:rsidR="00C52509" w:rsidRPr="00C52509">
        <w:rPr>
          <w:b w:val="0"/>
          <w:bCs w:val="0"/>
          <w:u w:val="none"/>
        </w:rPr>
        <w:t>shows comparison percentages for the United States.</w:t>
      </w:r>
    </w:p>
    <w:p w14:paraId="4EC239AA" w14:textId="77777777" w:rsidR="00536A52" w:rsidRPr="00536A52" w:rsidRDefault="00536A52" w:rsidP="00536A52">
      <w:pPr>
        <w:pStyle w:val="NotesorCommetns"/>
        <w:rPr>
          <w:b w:val="0"/>
          <w:bCs w:val="0"/>
          <w:u w:val="none"/>
        </w:rPr>
      </w:pPr>
    </w:p>
    <w:p w14:paraId="5AF0D1C7" w14:textId="2D759088" w:rsidR="0093570B" w:rsidRDefault="00C52509" w:rsidP="00646455">
      <w:r>
        <w:t>It is i</w:t>
      </w:r>
      <w:r w:rsidR="004A0098" w:rsidRPr="00C52509">
        <w:t>mportant</w:t>
      </w:r>
      <w:r>
        <w:t xml:space="preserve"> to n</w:t>
      </w:r>
      <w:r w:rsidR="00933F79">
        <w:t xml:space="preserve">ote </w:t>
      </w:r>
      <w:r>
        <w:t xml:space="preserve">that for the </w:t>
      </w:r>
      <w:proofErr w:type="gramStart"/>
      <w:r>
        <w:t>particular set</w:t>
      </w:r>
      <w:proofErr w:type="gramEnd"/>
      <w:r>
        <w:t xml:space="preserve"> of data in Figures 11-13, the </w:t>
      </w:r>
      <w:r w:rsidR="00933F79">
        <w:t xml:space="preserve">vertical axis for each bar chart varies in the maximum dollars, as the intent is to show relative changes in premiums and quarterly differences.  If a single maximum were used </w:t>
      </w:r>
      <w:r w:rsidR="00B774CD">
        <w:t>(for example in millions of dollars only)</w:t>
      </w:r>
      <w:r w:rsidR="00933F79">
        <w:t>, then premium variations would be less visible, or not visible at all.</w:t>
      </w:r>
    </w:p>
    <w:p w14:paraId="7F64EC1A" w14:textId="77777777" w:rsidR="00954D99" w:rsidRDefault="00954D99">
      <w:pPr>
        <w:rPr>
          <w:rFonts w:asciiTheme="majorHAnsi" w:hAnsiTheme="majorHAnsi"/>
          <w:color w:val="4472C4" w:themeColor="accent1"/>
          <w:sz w:val="32"/>
        </w:rPr>
      </w:pPr>
      <w:r>
        <w:br w:type="page"/>
      </w:r>
    </w:p>
    <w:p w14:paraId="06A288B5" w14:textId="66BB48BD" w:rsidR="00646455" w:rsidRDefault="004F7AF4" w:rsidP="00FB1207">
      <w:pPr>
        <w:pStyle w:val="Heading1-NoCollasping"/>
      </w:pPr>
      <w:r w:rsidRPr="00FB1207">
        <w:lastRenderedPageBreak/>
        <w:t>Composite</w:t>
      </w:r>
      <w:r w:rsidR="00B774CD">
        <w:t xml:space="preserve"> Percentages</w:t>
      </w:r>
      <w:r w:rsidRPr="00FB1207">
        <w:t xml:space="preserve">: </w:t>
      </w:r>
      <w:r w:rsidR="00B774CD">
        <w:t xml:space="preserve"> All, by </w:t>
      </w:r>
      <w:r w:rsidR="00CF690E" w:rsidRPr="00FB1207">
        <w:t>Distribution</w:t>
      </w:r>
      <w:r w:rsidR="00B774CD">
        <w:t>,</w:t>
      </w:r>
      <w:r w:rsidR="00CF690E" w:rsidRPr="00FB1207">
        <w:t xml:space="preserve"> and </w:t>
      </w:r>
      <w:r w:rsidR="00B774CD">
        <w:t xml:space="preserve">by </w:t>
      </w:r>
      <w:r w:rsidR="00CF690E" w:rsidRPr="00FB1207">
        <w:t>Regulation</w:t>
      </w:r>
    </w:p>
    <w:p w14:paraId="39E26BCD" w14:textId="7D2B6FA6" w:rsidR="007A6828" w:rsidRDefault="007A6828" w:rsidP="007A6828">
      <w:r>
        <w:rPr>
          <w:noProof/>
        </w:rPr>
        <w:drawing>
          <wp:inline distT="0" distB="0" distL="0" distR="0" wp14:anchorId="7729C75A" wp14:editId="02708724">
            <wp:extent cx="5943600" cy="2163351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3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3CD0" w14:paraId="63A37AED" w14:textId="77777777" w:rsidTr="00233CD0">
        <w:tc>
          <w:tcPr>
            <w:tcW w:w="3116" w:type="dxa"/>
          </w:tcPr>
          <w:p w14:paraId="3376CD58" w14:textId="3FEC3C91" w:rsidR="00233CD0" w:rsidRDefault="00233CD0" w:rsidP="00534C79">
            <w:pPr>
              <w:pStyle w:val="Graphics-Two-by-Two"/>
              <w:spacing w:after="120"/>
            </w:pPr>
            <w:r>
              <w:t>Figure</w:t>
            </w:r>
            <w:r w:rsidR="00296277">
              <w:t xml:space="preserve"> 1</w:t>
            </w:r>
            <w:r w:rsidR="005A33D1">
              <w:t>5</w:t>
            </w:r>
          </w:p>
        </w:tc>
        <w:tc>
          <w:tcPr>
            <w:tcW w:w="3117" w:type="dxa"/>
          </w:tcPr>
          <w:p w14:paraId="6FB08966" w14:textId="4C7F12F7" w:rsidR="00233CD0" w:rsidRDefault="00233CD0" w:rsidP="00534C79">
            <w:pPr>
              <w:pStyle w:val="Graphics-Two-by-Two"/>
              <w:spacing w:after="120"/>
            </w:pPr>
            <w:r>
              <w:t>Figure</w:t>
            </w:r>
            <w:r w:rsidR="00296277">
              <w:t xml:space="preserve"> 1</w:t>
            </w:r>
            <w:r w:rsidR="005A33D1">
              <w:t>6</w:t>
            </w:r>
          </w:p>
        </w:tc>
        <w:tc>
          <w:tcPr>
            <w:tcW w:w="3117" w:type="dxa"/>
          </w:tcPr>
          <w:p w14:paraId="6294057D" w14:textId="2F233479" w:rsidR="00233CD0" w:rsidRDefault="00233CD0" w:rsidP="00534C79">
            <w:pPr>
              <w:pStyle w:val="Graphics-Two-by-Two"/>
              <w:spacing w:after="120"/>
            </w:pPr>
            <w:r>
              <w:t>Figure</w:t>
            </w:r>
            <w:r w:rsidR="00296277">
              <w:t xml:space="preserve"> 1</w:t>
            </w:r>
            <w:r w:rsidR="005A33D1">
              <w:t>7</w:t>
            </w:r>
          </w:p>
        </w:tc>
      </w:tr>
    </w:tbl>
    <w:p w14:paraId="23E82DD4" w14:textId="17331245" w:rsidR="00233CD0" w:rsidRPr="00B91DF3" w:rsidRDefault="00233CD0" w:rsidP="005A33D1">
      <w:pPr>
        <w:rPr>
          <w:rStyle w:val="SubtleEmphasis"/>
          <w:i w:val="0"/>
          <w:iCs w:val="0"/>
          <w:color w:val="auto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7"/>
        <w:gridCol w:w="1307"/>
        <w:gridCol w:w="1161"/>
        <w:gridCol w:w="1307"/>
        <w:gridCol w:w="1161"/>
        <w:gridCol w:w="1309"/>
        <w:gridCol w:w="1158"/>
      </w:tblGrid>
      <w:tr w:rsidR="005A33D1" w:rsidRPr="009B004E" w14:paraId="08D9A913" w14:textId="77777777" w:rsidTr="009B004E">
        <w:trPr>
          <w:trHeight w:val="20"/>
        </w:trPr>
        <w:tc>
          <w:tcPr>
            <w:tcW w:w="5000" w:type="pct"/>
            <w:gridSpan w:val="7"/>
            <w:noWrap/>
          </w:tcPr>
          <w:p w14:paraId="494C22A3" w14:textId="4716E58C" w:rsidR="005A33D1" w:rsidRPr="009B004E" w:rsidRDefault="008D1C31" w:rsidP="005A33D1">
            <w:pPr>
              <w:pStyle w:val="DataTable3x3by2wid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Composite Premium Growth </w:t>
            </w:r>
            <w:r w:rsidR="005A33D1" w:rsidRPr="009B004E">
              <w:rPr>
                <w:b/>
                <w:bCs/>
              </w:rPr>
              <w:t>Percentages for Figures 15-17</w:t>
            </w:r>
          </w:p>
        </w:tc>
      </w:tr>
      <w:tr w:rsidR="009B004E" w:rsidRPr="00487EF8" w14:paraId="7CE508E4" w14:textId="77777777" w:rsidTr="009B004E">
        <w:trPr>
          <w:trHeight w:val="20"/>
        </w:trPr>
        <w:tc>
          <w:tcPr>
            <w:tcW w:w="1041" w:type="pct"/>
            <w:vMerge w:val="restart"/>
            <w:noWrap/>
            <w:hideMark/>
          </w:tcPr>
          <w:p w14:paraId="10A403E0" w14:textId="28116292" w:rsidR="009B004E" w:rsidRPr="009B004E" w:rsidRDefault="009B004E" w:rsidP="009B004E">
            <w:pPr>
              <w:pStyle w:val="DataTable3x3by2wide"/>
              <w:jc w:val="left"/>
              <w:rPr>
                <w:b/>
                <w:bCs/>
              </w:rPr>
            </w:pPr>
            <w:r w:rsidRPr="009B004E">
              <w:rPr>
                <w:b/>
                <w:bCs/>
              </w:rPr>
              <w:t>All, Distribution or</w:t>
            </w:r>
          </w:p>
          <w:p w14:paraId="00EBEF4A" w14:textId="5CCBC1CF" w:rsidR="009B004E" w:rsidRPr="009B004E" w:rsidRDefault="009B004E" w:rsidP="009B004E">
            <w:pPr>
              <w:pStyle w:val="DataTable3x3by2wide"/>
              <w:jc w:val="left"/>
              <w:rPr>
                <w:b/>
                <w:bCs/>
              </w:rPr>
            </w:pPr>
            <w:r w:rsidRPr="009B004E">
              <w:rPr>
                <w:b/>
                <w:bCs/>
              </w:rPr>
              <w:t>Regulatory Regime</w:t>
            </w:r>
          </w:p>
        </w:tc>
        <w:tc>
          <w:tcPr>
            <w:tcW w:w="1320" w:type="pct"/>
            <w:gridSpan w:val="2"/>
            <w:noWrap/>
            <w:hideMark/>
          </w:tcPr>
          <w:p w14:paraId="764790FE" w14:textId="77777777" w:rsidR="009B004E" w:rsidRPr="009B004E" w:rsidRDefault="009B004E" w:rsidP="00487EF8">
            <w:pPr>
              <w:pStyle w:val="DataTable3x3by2wide"/>
              <w:rPr>
                <w:b/>
                <w:bCs/>
              </w:rPr>
            </w:pPr>
            <w:r w:rsidRPr="009B004E">
              <w:rPr>
                <w:b/>
                <w:bCs/>
              </w:rPr>
              <w:t>Q1-to-Q1</w:t>
            </w:r>
          </w:p>
        </w:tc>
        <w:tc>
          <w:tcPr>
            <w:tcW w:w="1320" w:type="pct"/>
            <w:gridSpan w:val="2"/>
            <w:noWrap/>
            <w:hideMark/>
          </w:tcPr>
          <w:p w14:paraId="3292596F" w14:textId="77777777" w:rsidR="009B004E" w:rsidRPr="009B004E" w:rsidRDefault="009B004E" w:rsidP="00487EF8">
            <w:pPr>
              <w:pStyle w:val="DataTable3x3by2wide"/>
              <w:rPr>
                <w:b/>
                <w:bCs/>
              </w:rPr>
            </w:pPr>
            <w:r w:rsidRPr="009B004E">
              <w:rPr>
                <w:b/>
                <w:bCs/>
              </w:rPr>
              <w:t>Rolling (12-Months)</w:t>
            </w:r>
          </w:p>
        </w:tc>
        <w:tc>
          <w:tcPr>
            <w:tcW w:w="1319" w:type="pct"/>
            <w:gridSpan w:val="2"/>
            <w:noWrap/>
            <w:hideMark/>
          </w:tcPr>
          <w:p w14:paraId="337DD1C4" w14:textId="4A07E9D5" w:rsidR="009B004E" w:rsidRPr="009B004E" w:rsidRDefault="009B004E" w:rsidP="00487EF8">
            <w:pPr>
              <w:pStyle w:val="DataTable3x3by2wide"/>
              <w:rPr>
                <w:b/>
                <w:bCs/>
              </w:rPr>
            </w:pPr>
            <w:r w:rsidRPr="009B004E">
              <w:rPr>
                <w:b/>
                <w:bCs/>
              </w:rPr>
              <w:t>Average (4 Years)</w:t>
            </w:r>
          </w:p>
        </w:tc>
      </w:tr>
      <w:tr w:rsidR="009B004E" w:rsidRPr="00487EF8" w14:paraId="0DAC36F1" w14:textId="77777777" w:rsidTr="007A6828">
        <w:trPr>
          <w:trHeight w:val="20"/>
        </w:trPr>
        <w:tc>
          <w:tcPr>
            <w:tcW w:w="1041" w:type="pct"/>
            <w:vMerge/>
            <w:noWrap/>
            <w:hideMark/>
          </w:tcPr>
          <w:p w14:paraId="799317F9" w14:textId="77777777" w:rsidR="009B004E" w:rsidRPr="009B004E" w:rsidRDefault="009B004E" w:rsidP="00487EF8">
            <w:pPr>
              <w:pStyle w:val="DataTable3x3by2wide"/>
              <w:rPr>
                <w:b/>
                <w:bCs/>
              </w:rPr>
            </w:pPr>
          </w:p>
        </w:tc>
        <w:tc>
          <w:tcPr>
            <w:tcW w:w="699" w:type="pct"/>
            <w:noWrap/>
            <w:hideMark/>
          </w:tcPr>
          <w:p w14:paraId="1B0BA31F" w14:textId="374CE14F" w:rsidR="009B004E" w:rsidRPr="009B004E" w:rsidRDefault="00006B17" w:rsidP="00487EF8">
            <w:pPr>
              <w:pStyle w:val="DataTable3x3by2wide"/>
              <w:rPr>
                <w:b/>
                <w:bCs/>
              </w:rPr>
            </w:pPr>
            <w:r>
              <w:rPr>
                <w:b/>
                <w:bCs/>
              </w:rPr>
              <w:t>Nebraska</w:t>
            </w:r>
          </w:p>
        </w:tc>
        <w:tc>
          <w:tcPr>
            <w:tcW w:w="621" w:type="pct"/>
            <w:noWrap/>
            <w:hideMark/>
          </w:tcPr>
          <w:p w14:paraId="287D92E3" w14:textId="77777777" w:rsidR="009B004E" w:rsidRPr="009B004E" w:rsidRDefault="009B004E" w:rsidP="00487EF8">
            <w:pPr>
              <w:pStyle w:val="DataTable3x3by2wide"/>
              <w:rPr>
                <w:b/>
                <w:bCs/>
              </w:rPr>
            </w:pPr>
            <w:r w:rsidRPr="009B004E">
              <w:rPr>
                <w:b/>
                <w:bCs/>
              </w:rPr>
              <w:t>U.S.</w:t>
            </w:r>
          </w:p>
        </w:tc>
        <w:tc>
          <w:tcPr>
            <w:tcW w:w="699" w:type="pct"/>
            <w:noWrap/>
            <w:hideMark/>
          </w:tcPr>
          <w:p w14:paraId="7478D1E6" w14:textId="29937A3B" w:rsidR="009B004E" w:rsidRPr="009B004E" w:rsidRDefault="00006B17" w:rsidP="00487EF8">
            <w:pPr>
              <w:pStyle w:val="DataTable3x3by2wide"/>
              <w:rPr>
                <w:b/>
                <w:bCs/>
              </w:rPr>
            </w:pPr>
            <w:r>
              <w:rPr>
                <w:b/>
                <w:bCs/>
              </w:rPr>
              <w:t>Nebraska</w:t>
            </w:r>
          </w:p>
        </w:tc>
        <w:tc>
          <w:tcPr>
            <w:tcW w:w="621" w:type="pct"/>
            <w:noWrap/>
            <w:hideMark/>
          </w:tcPr>
          <w:p w14:paraId="5A1950AD" w14:textId="77777777" w:rsidR="009B004E" w:rsidRPr="009B004E" w:rsidRDefault="009B004E" w:rsidP="00487EF8">
            <w:pPr>
              <w:pStyle w:val="DataTable3x3by2wide"/>
              <w:rPr>
                <w:b/>
                <w:bCs/>
              </w:rPr>
            </w:pPr>
            <w:r w:rsidRPr="009B004E">
              <w:rPr>
                <w:b/>
                <w:bCs/>
              </w:rPr>
              <w:t>U.S.</w:t>
            </w:r>
          </w:p>
        </w:tc>
        <w:tc>
          <w:tcPr>
            <w:tcW w:w="700" w:type="pct"/>
            <w:noWrap/>
            <w:hideMark/>
          </w:tcPr>
          <w:p w14:paraId="1838DAE3" w14:textId="3155BD11" w:rsidR="009B004E" w:rsidRPr="009B004E" w:rsidRDefault="00006B17" w:rsidP="00487EF8">
            <w:pPr>
              <w:pStyle w:val="DataTable3x3by2wide"/>
              <w:rPr>
                <w:b/>
                <w:bCs/>
              </w:rPr>
            </w:pPr>
            <w:r>
              <w:rPr>
                <w:b/>
                <w:bCs/>
              </w:rPr>
              <w:t>Nebraska</w:t>
            </w:r>
          </w:p>
        </w:tc>
        <w:tc>
          <w:tcPr>
            <w:tcW w:w="619" w:type="pct"/>
            <w:noWrap/>
            <w:hideMark/>
          </w:tcPr>
          <w:p w14:paraId="5831E85E" w14:textId="77777777" w:rsidR="009B004E" w:rsidRPr="009B004E" w:rsidRDefault="009B004E" w:rsidP="00487EF8">
            <w:pPr>
              <w:pStyle w:val="DataTable3x3by2wide"/>
              <w:rPr>
                <w:b/>
                <w:bCs/>
              </w:rPr>
            </w:pPr>
            <w:r w:rsidRPr="009B004E">
              <w:rPr>
                <w:b/>
                <w:bCs/>
              </w:rPr>
              <w:t>U.S.</w:t>
            </w:r>
          </w:p>
        </w:tc>
      </w:tr>
      <w:tr w:rsidR="007A6828" w:rsidRPr="00487EF8" w14:paraId="0D0A9B77" w14:textId="77777777" w:rsidTr="00EE488C">
        <w:trPr>
          <w:trHeight w:val="20"/>
        </w:trPr>
        <w:tc>
          <w:tcPr>
            <w:tcW w:w="1041" w:type="pct"/>
            <w:noWrap/>
            <w:hideMark/>
          </w:tcPr>
          <w:p w14:paraId="22C47865" w14:textId="438B8FE9" w:rsidR="007A6828" w:rsidRPr="00487EF8" w:rsidRDefault="007A6828" w:rsidP="007A6828">
            <w:pPr>
              <w:pStyle w:val="DataTable3x3by2wide"/>
              <w:jc w:val="left"/>
            </w:pPr>
            <w:r w:rsidRPr="00487EF8">
              <w:t xml:space="preserve">All </w:t>
            </w:r>
            <w:r>
              <w:t>Premium</w:t>
            </w:r>
          </w:p>
        </w:tc>
        <w:tc>
          <w:tcPr>
            <w:tcW w:w="699" w:type="pct"/>
            <w:noWrap/>
            <w:vAlign w:val="bottom"/>
          </w:tcPr>
          <w:p w14:paraId="664B810C" w14:textId="289A710C" w:rsidR="007A6828" w:rsidRPr="00487EF8" w:rsidRDefault="007A6828" w:rsidP="007A6828">
            <w:pPr>
              <w:pStyle w:val="DataTable3x3by2wide"/>
            </w:pPr>
            <w:r>
              <w:t>14.3%</w:t>
            </w:r>
          </w:p>
        </w:tc>
        <w:tc>
          <w:tcPr>
            <w:tcW w:w="621" w:type="pct"/>
            <w:noWrap/>
            <w:hideMark/>
          </w:tcPr>
          <w:p w14:paraId="79A298B3" w14:textId="77777777" w:rsidR="007A6828" w:rsidRPr="00487EF8" w:rsidRDefault="007A6828" w:rsidP="007A6828">
            <w:pPr>
              <w:pStyle w:val="DataTable3x3by2wide"/>
            </w:pPr>
            <w:r w:rsidRPr="00487EF8">
              <w:t>9.5%</w:t>
            </w:r>
          </w:p>
        </w:tc>
        <w:tc>
          <w:tcPr>
            <w:tcW w:w="699" w:type="pct"/>
            <w:noWrap/>
            <w:vAlign w:val="bottom"/>
          </w:tcPr>
          <w:p w14:paraId="6DC90815" w14:textId="1A57975A" w:rsidR="007A6828" w:rsidRPr="00487EF8" w:rsidRDefault="007A6828" w:rsidP="007A6828">
            <w:pPr>
              <w:pStyle w:val="DataTable3x3by2wide"/>
            </w:pPr>
            <w:r>
              <w:t>12.3%</w:t>
            </w:r>
          </w:p>
        </w:tc>
        <w:tc>
          <w:tcPr>
            <w:tcW w:w="621" w:type="pct"/>
            <w:noWrap/>
            <w:hideMark/>
          </w:tcPr>
          <w:p w14:paraId="5447ED9C" w14:textId="77777777" w:rsidR="007A6828" w:rsidRPr="00487EF8" w:rsidRDefault="007A6828" w:rsidP="007A6828">
            <w:pPr>
              <w:pStyle w:val="DataTable3x3by2wide"/>
            </w:pPr>
            <w:r w:rsidRPr="00487EF8">
              <w:t>10.3%</w:t>
            </w:r>
          </w:p>
        </w:tc>
        <w:tc>
          <w:tcPr>
            <w:tcW w:w="700" w:type="pct"/>
            <w:noWrap/>
            <w:vAlign w:val="bottom"/>
          </w:tcPr>
          <w:p w14:paraId="66736DBC" w14:textId="6B3BF4D3" w:rsidR="007A6828" w:rsidRPr="00487EF8" w:rsidRDefault="007A6828" w:rsidP="007A6828">
            <w:pPr>
              <w:pStyle w:val="DataTable3x3by2wide"/>
            </w:pPr>
            <w:r>
              <w:t>8.8%</w:t>
            </w:r>
          </w:p>
        </w:tc>
        <w:tc>
          <w:tcPr>
            <w:tcW w:w="619" w:type="pct"/>
            <w:noWrap/>
            <w:hideMark/>
          </w:tcPr>
          <w:p w14:paraId="7545ACFF" w14:textId="77777777" w:rsidR="007A6828" w:rsidRPr="00487EF8" w:rsidRDefault="007A6828" w:rsidP="007A6828">
            <w:pPr>
              <w:pStyle w:val="DataTable3x3by2wide"/>
            </w:pPr>
            <w:r w:rsidRPr="00487EF8">
              <w:t>5.9%</w:t>
            </w:r>
          </w:p>
        </w:tc>
      </w:tr>
      <w:tr w:rsidR="007A6828" w:rsidRPr="00487EF8" w14:paraId="77543157" w14:textId="77777777" w:rsidTr="00EE488C">
        <w:trPr>
          <w:trHeight w:val="20"/>
        </w:trPr>
        <w:tc>
          <w:tcPr>
            <w:tcW w:w="1041" w:type="pct"/>
            <w:noWrap/>
            <w:hideMark/>
          </w:tcPr>
          <w:p w14:paraId="6AFADC33" w14:textId="77777777" w:rsidR="007A6828" w:rsidRPr="00487EF8" w:rsidRDefault="007A6828" w:rsidP="007A6828">
            <w:pPr>
              <w:pStyle w:val="DataTable3x3by2wide"/>
              <w:jc w:val="left"/>
            </w:pPr>
            <w:r w:rsidRPr="00487EF8">
              <w:t>Independent Agent</w:t>
            </w:r>
          </w:p>
        </w:tc>
        <w:tc>
          <w:tcPr>
            <w:tcW w:w="699" w:type="pct"/>
            <w:noWrap/>
            <w:vAlign w:val="bottom"/>
          </w:tcPr>
          <w:p w14:paraId="34DE84AB" w14:textId="47EF9886" w:rsidR="007A6828" w:rsidRPr="00487EF8" w:rsidRDefault="007A6828" w:rsidP="007A6828">
            <w:pPr>
              <w:pStyle w:val="DataTable3x3by2wide"/>
            </w:pPr>
            <w:r>
              <w:t>18.0%</w:t>
            </w:r>
          </w:p>
        </w:tc>
        <w:tc>
          <w:tcPr>
            <w:tcW w:w="621" w:type="pct"/>
            <w:noWrap/>
            <w:hideMark/>
          </w:tcPr>
          <w:p w14:paraId="57945C93" w14:textId="77777777" w:rsidR="007A6828" w:rsidRPr="00487EF8" w:rsidRDefault="007A6828" w:rsidP="007A6828">
            <w:pPr>
              <w:pStyle w:val="DataTable3x3by2wide"/>
            </w:pPr>
            <w:r w:rsidRPr="00487EF8">
              <w:t>11.8%</w:t>
            </w:r>
          </w:p>
        </w:tc>
        <w:tc>
          <w:tcPr>
            <w:tcW w:w="699" w:type="pct"/>
            <w:noWrap/>
            <w:vAlign w:val="bottom"/>
          </w:tcPr>
          <w:p w14:paraId="71B0660A" w14:textId="2D5622C6" w:rsidR="007A6828" w:rsidRPr="00487EF8" w:rsidRDefault="007A6828" w:rsidP="007A6828">
            <w:pPr>
              <w:pStyle w:val="DataTable3x3by2wide"/>
            </w:pPr>
            <w:r>
              <w:t>15.4%</w:t>
            </w:r>
          </w:p>
        </w:tc>
        <w:tc>
          <w:tcPr>
            <w:tcW w:w="621" w:type="pct"/>
            <w:noWrap/>
            <w:hideMark/>
          </w:tcPr>
          <w:p w14:paraId="17478A64" w14:textId="77777777" w:rsidR="007A6828" w:rsidRPr="00487EF8" w:rsidRDefault="007A6828" w:rsidP="007A6828">
            <w:pPr>
              <w:pStyle w:val="DataTable3x3by2wide"/>
            </w:pPr>
            <w:r w:rsidRPr="00487EF8">
              <w:t>13.1%</w:t>
            </w:r>
          </w:p>
        </w:tc>
        <w:tc>
          <w:tcPr>
            <w:tcW w:w="700" w:type="pct"/>
            <w:noWrap/>
            <w:vAlign w:val="bottom"/>
          </w:tcPr>
          <w:p w14:paraId="2E94E270" w14:textId="762C36F0" w:rsidR="007A6828" w:rsidRPr="00487EF8" w:rsidRDefault="007A6828" w:rsidP="007A6828">
            <w:pPr>
              <w:pStyle w:val="DataTable3x3by2wide"/>
            </w:pPr>
            <w:r>
              <w:t>11.3%</w:t>
            </w:r>
          </w:p>
        </w:tc>
        <w:tc>
          <w:tcPr>
            <w:tcW w:w="619" w:type="pct"/>
            <w:noWrap/>
            <w:hideMark/>
          </w:tcPr>
          <w:p w14:paraId="20BFC0CD" w14:textId="77777777" w:rsidR="007A6828" w:rsidRPr="00487EF8" w:rsidRDefault="007A6828" w:rsidP="007A6828">
            <w:pPr>
              <w:pStyle w:val="DataTable3x3by2wide"/>
            </w:pPr>
            <w:r w:rsidRPr="00487EF8">
              <w:t>7.6%</w:t>
            </w:r>
          </w:p>
        </w:tc>
      </w:tr>
      <w:tr w:rsidR="007A6828" w:rsidRPr="00487EF8" w14:paraId="52D37550" w14:textId="77777777" w:rsidTr="00EE488C">
        <w:trPr>
          <w:trHeight w:val="20"/>
        </w:trPr>
        <w:tc>
          <w:tcPr>
            <w:tcW w:w="1041" w:type="pct"/>
            <w:noWrap/>
            <w:hideMark/>
          </w:tcPr>
          <w:p w14:paraId="73F5D1A3" w14:textId="77777777" w:rsidR="007A6828" w:rsidRPr="00487EF8" w:rsidRDefault="007A6828" w:rsidP="007A6828">
            <w:pPr>
              <w:pStyle w:val="DataTable3x3by2wide"/>
              <w:jc w:val="left"/>
            </w:pPr>
            <w:r w:rsidRPr="00487EF8">
              <w:t>IA or Broker</w:t>
            </w:r>
          </w:p>
        </w:tc>
        <w:tc>
          <w:tcPr>
            <w:tcW w:w="699" w:type="pct"/>
            <w:noWrap/>
            <w:vAlign w:val="bottom"/>
          </w:tcPr>
          <w:p w14:paraId="38783DF2" w14:textId="4DBB2B3D" w:rsidR="007A6828" w:rsidRPr="00487EF8" w:rsidRDefault="007A6828" w:rsidP="007A6828">
            <w:pPr>
              <w:pStyle w:val="DataTable3x3by2wide"/>
            </w:pPr>
            <w:r>
              <w:t>16.7%</w:t>
            </w:r>
          </w:p>
        </w:tc>
        <w:tc>
          <w:tcPr>
            <w:tcW w:w="621" w:type="pct"/>
            <w:noWrap/>
            <w:hideMark/>
          </w:tcPr>
          <w:p w14:paraId="77ED3DC2" w14:textId="77777777" w:rsidR="007A6828" w:rsidRPr="00487EF8" w:rsidRDefault="007A6828" w:rsidP="007A6828">
            <w:pPr>
              <w:pStyle w:val="DataTable3x3by2wide"/>
            </w:pPr>
            <w:r w:rsidRPr="00487EF8">
              <w:t>10.5%</w:t>
            </w:r>
          </w:p>
        </w:tc>
        <w:tc>
          <w:tcPr>
            <w:tcW w:w="699" w:type="pct"/>
            <w:noWrap/>
            <w:vAlign w:val="bottom"/>
          </w:tcPr>
          <w:p w14:paraId="63673B4D" w14:textId="5C80DFEB" w:rsidR="007A6828" w:rsidRPr="00487EF8" w:rsidRDefault="007A6828" w:rsidP="007A6828">
            <w:pPr>
              <w:pStyle w:val="DataTable3x3by2wide"/>
            </w:pPr>
            <w:r>
              <w:t>44.4%</w:t>
            </w:r>
          </w:p>
        </w:tc>
        <w:tc>
          <w:tcPr>
            <w:tcW w:w="621" w:type="pct"/>
            <w:noWrap/>
            <w:hideMark/>
          </w:tcPr>
          <w:p w14:paraId="0A5AF4AF" w14:textId="77777777" w:rsidR="007A6828" w:rsidRPr="00487EF8" w:rsidRDefault="007A6828" w:rsidP="007A6828">
            <w:pPr>
              <w:pStyle w:val="DataTable3x3by2wide"/>
            </w:pPr>
            <w:r w:rsidRPr="00487EF8">
              <w:t>40.5%</w:t>
            </w:r>
          </w:p>
        </w:tc>
        <w:tc>
          <w:tcPr>
            <w:tcW w:w="700" w:type="pct"/>
            <w:noWrap/>
            <w:vAlign w:val="bottom"/>
          </w:tcPr>
          <w:p w14:paraId="5E698CC7" w14:textId="194491CC" w:rsidR="007A6828" w:rsidRPr="00487EF8" w:rsidRDefault="007A6828" w:rsidP="007A6828">
            <w:pPr>
              <w:pStyle w:val="DataTable3x3by2wide"/>
            </w:pPr>
            <w:r>
              <w:t>9.0%</w:t>
            </w:r>
          </w:p>
        </w:tc>
        <w:tc>
          <w:tcPr>
            <w:tcW w:w="619" w:type="pct"/>
            <w:noWrap/>
            <w:hideMark/>
          </w:tcPr>
          <w:p w14:paraId="124A98C5" w14:textId="77777777" w:rsidR="007A6828" w:rsidRPr="00487EF8" w:rsidRDefault="007A6828" w:rsidP="007A6828">
            <w:pPr>
              <w:pStyle w:val="DataTable3x3by2wide"/>
            </w:pPr>
            <w:r w:rsidRPr="00487EF8">
              <w:t>6.5%</w:t>
            </w:r>
          </w:p>
        </w:tc>
      </w:tr>
      <w:tr w:rsidR="007A6828" w:rsidRPr="00487EF8" w14:paraId="692EB8DB" w14:textId="77777777" w:rsidTr="00EE488C">
        <w:trPr>
          <w:trHeight w:val="20"/>
        </w:trPr>
        <w:tc>
          <w:tcPr>
            <w:tcW w:w="1041" w:type="pct"/>
            <w:noWrap/>
            <w:hideMark/>
          </w:tcPr>
          <w:p w14:paraId="15485D4D" w14:textId="77777777" w:rsidR="007A6828" w:rsidRPr="00487EF8" w:rsidRDefault="007A6828" w:rsidP="007A6828">
            <w:pPr>
              <w:pStyle w:val="DataTable3x3by2wide"/>
              <w:jc w:val="left"/>
            </w:pPr>
            <w:r w:rsidRPr="00487EF8">
              <w:t>MGA</w:t>
            </w:r>
          </w:p>
        </w:tc>
        <w:tc>
          <w:tcPr>
            <w:tcW w:w="699" w:type="pct"/>
            <w:noWrap/>
            <w:vAlign w:val="bottom"/>
          </w:tcPr>
          <w:p w14:paraId="14300148" w14:textId="2076A5D8" w:rsidR="007A6828" w:rsidRPr="00487EF8" w:rsidRDefault="007A6828" w:rsidP="007A6828">
            <w:pPr>
              <w:pStyle w:val="DataTable3x3by2wide"/>
            </w:pPr>
            <w:r>
              <w:t>11.5%</w:t>
            </w:r>
          </w:p>
        </w:tc>
        <w:tc>
          <w:tcPr>
            <w:tcW w:w="621" w:type="pct"/>
            <w:noWrap/>
            <w:hideMark/>
          </w:tcPr>
          <w:p w14:paraId="10ADE460" w14:textId="77777777" w:rsidR="007A6828" w:rsidRPr="00487EF8" w:rsidRDefault="007A6828" w:rsidP="007A6828">
            <w:pPr>
              <w:pStyle w:val="DataTable3x3by2wide"/>
            </w:pPr>
            <w:r w:rsidRPr="00487EF8">
              <w:t>19.9%</w:t>
            </w:r>
          </w:p>
        </w:tc>
        <w:tc>
          <w:tcPr>
            <w:tcW w:w="699" w:type="pct"/>
            <w:noWrap/>
            <w:vAlign w:val="bottom"/>
          </w:tcPr>
          <w:p w14:paraId="7A1EF9B5" w14:textId="571B19FA" w:rsidR="007A6828" w:rsidRPr="00487EF8" w:rsidRDefault="007A6828" w:rsidP="007A6828">
            <w:pPr>
              <w:pStyle w:val="DataTable3x3by2wide"/>
            </w:pPr>
            <w:r>
              <w:t>35.2%</w:t>
            </w:r>
          </w:p>
        </w:tc>
        <w:tc>
          <w:tcPr>
            <w:tcW w:w="621" w:type="pct"/>
            <w:noWrap/>
            <w:hideMark/>
          </w:tcPr>
          <w:p w14:paraId="115E95DC" w14:textId="77777777" w:rsidR="007A6828" w:rsidRPr="00487EF8" w:rsidRDefault="007A6828" w:rsidP="007A6828">
            <w:pPr>
              <w:pStyle w:val="DataTable3x3by2wide"/>
            </w:pPr>
            <w:r w:rsidRPr="00487EF8">
              <w:t>21.6%</w:t>
            </w:r>
          </w:p>
        </w:tc>
        <w:tc>
          <w:tcPr>
            <w:tcW w:w="700" w:type="pct"/>
            <w:noWrap/>
            <w:vAlign w:val="bottom"/>
          </w:tcPr>
          <w:p w14:paraId="74A7CB32" w14:textId="7699F548" w:rsidR="007A6828" w:rsidRPr="00487EF8" w:rsidRDefault="007A6828" w:rsidP="007A6828">
            <w:pPr>
              <w:pStyle w:val="DataTable3x3by2wide"/>
            </w:pPr>
            <w:r>
              <w:t>16.8%</w:t>
            </w:r>
          </w:p>
        </w:tc>
        <w:tc>
          <w:tcPr>
            <w:tcW w:w="619" w:type="pct"/>
            <w:noWrap/>
            <w:hideMark/>
          </w:tcPr>
          <w:p w14:paraId="642B38CB" w14:textId="77777777" w:rsidR="007A6828" w:rsidRPr="00487EF8" w:rsidRDefault="007A6828" w:rsidP="007A6828">
            <w:pPr>
              <w:pStyle w:val="DataTable3x3by2wide"/>
            </w:pPr>
            <w:r w:rsidRPr="00487EF8">
              <w:t>14.8%</w:t>
            </w:r>
          </w:p>
        </w:tc>
      </w:tr>
      <w:tr w:rsidR="007A6828" w:rsidRPr="00487EF8" w14:paraId="008F2E2D" w14:textId="77777777" w:rsidTr="00EE488C">
        <w:trPr>
          <w:trHeight w:val="20"/>
        </w:trPr>
        <w:tc>
          <w:tcPr>
            <w:tcW w:w="1041" w:type="pct"/>
            <w:noWrap/>
            <w:hideMark/>
          </w:tcPr>
          <w:p w14:paraId="4076A617" w14:textId="77777777" w:rsidR="007A6828" w:rsidRPr="00487EF8" w:rsidRDefault="007A6828" w:rsidP="007A6828">
            <w:pPr>
              <w:pStyle w:val="DataTable3x3by2wide"/>
              <w:jc w:val="left"/>
            </w:pPr>
            <w:r w:rsidRPr="00487EF8">
              <w:t>IA-Mixed</w:t>
            </w:r>
          </w:p>
        </w:tc>
        <w:tc>
          <w:tcPr>
            <w:tcW w:w="699" w:type="pct"/>
            <w:noWrap/>
            <w:vAlign w:val="bottom"/>
          </w:tcPr>
          <w:p w14:paraId="22CE95DA" w14:textId="02C50B6A" w:rsidR="007A6828" w:rsidRPr="00487EF8" w:rsidRDefault="007A6828" w:rsidP="007A6828">
            <w:pPr>
              <w:pStyle w:val="DataTable3x3by2wide"/>
            </w:pPr>
            <w:r>
              <w:t>35.1%</w:t>
            </w:r>
          </w:p>
        </w:tc>
        <w:tc>
          <w:tcPr>
            <w:tcW w:w="621" w:type="pct"/>
            <w:noWrap/>
            <w:hideMark/>
          </w:tcPr>
          <w:p w14:paraId="6A578956" w14:textId="77777777" w:rsidR="007A6828" w:rsidRPr="00487EF8" w:rsidRDefault="007A6828" w:rsidP="007A6828">
            <w:pPr>
              <w:pStyle w:val="DataTable3x3by2wide"/>
            </w:pPr>
            <w:r w:rsidRPr="00487EF8">
              <w:t>14.4%</w:t>
            </w:r>
          </w:p>
        </w:tc>
        <w:tc>
          <w:tcPr>
            <w:tcW w:w="699" w:type="pct"/>
            <w:noWrap/>
            <w:vAlign w:val="bottom"/>
          </w:tcPr>
          <w:p w14:paraId="3B3C8A79" w14:textId="45C08355" w:rsidR="007A6828" w:rsidRPr="00487EF8" w:rsidRDefault="007A6828" w:rsidP="007A6828">
            <w:pPr>
              <w:pStyle w:val="DataTable3x3by2wide"/>
            </w:pPr>
            <w:r>
              <w:t>12.4%</w:t>
            </w:r>
          </w:p>
        </w:tc>
        <w:tc>
          <w:tcPr>
            <w:tcW w:w="621" w:type="pct"/>
            <w:noWrap/>
            <w:hideMark/>
          </w:tcPr>
          <w:p w14:paraId="1C9922D2" w14:textId="77777777" w:rsidR="007A6828" w:rsidRPr="00487EF8" w:rsidRDefault="007A6828" w:rsidP="007A6828">
            <w:pPr>
              <w:pStyle w:val="DataTable3x3by2wide"/>
            </w:pPr>
            <w:r w:rsidRPr="00487EF8">
              <w:t>15.6%</w:t>
            </w:r>
          </w:p>
        </w:tc>
        <w:tc>
          <w:tcPr>
            <w:tcW w:w="700" w:type="pct"/>
            <w:noWrap/>
            <w:vAlign w:val="bottom"/>
          </w:tcPr>
          <w:p w14:paraId="39D9841E" w14:textId="0B63B183" w:rsidR="007A6828" w:rsidRPr="00487EF8" w:rsidRDefault="007A6828" w:rsidP="007A6828">
            <w:pPr>
              <w:pStyle w:val="DataTable3x3by2wide"/>
            </w:pPr>
            <w:r>
              <w:t>30.7%</w:t>
            </w:r>
          </w:p>
        </w:tc>
        <w:tc>
          <w:tcPr>
            <w:tcW w:w="619" w:type="pct"/>
            <w:noWrap/>
            <w:hideMark/>
          </w:tcPr>
          <w:p w14:paraId="68AE44B8" w14:textId="77777777" w:rsidR="007A6828" w:rsidRPr="00487EF8" w:rsidRDefault="007A6828" w:rsidP="007A6828">
            <w:pPr>
              <w:pStyle w:val="DataTable3x3by2wide"/>
            </w:pPr>
            <w:r w:rsidRPr="00487EF8">
              <w:t>11.1%</w:t>
            </w:r>
          </w:p>
        </w:tc>
      </w:tr>
      <w:tr w:rsidR="007A6828" w:rsidRPr="00487EF8" w14:paraId="20CB408D" w14:textId="77777777" w:rsidTr="00EE488C">
        <w:trPr>
          <w:trHeight w:val="20"/>
        </w:trPr>
        <w:tc>
          <w:tcPr>
            <w:tcW w:w="1041" w:type="pct"/>
            <w:noWrap/>
            <w:hideMark/>
          </w:tcPr>
          <w:p w14:paraId="0FEB13F8" w14:textId="77777777" w:rsidR="007A6828" w:rsidRPr="00487EF8" w:rsidRDefault="007A6828" w:rsidP="007A6828">
            <w:pPr>
              <w:pStyle w:val="DataTable3x3by2wide"/>
              <w:jc w:val="left"/>
            </w:pPr>
            <w:r w:rsidRPr="00487EF8">
              <w:t>Direct</w:t>
            </w:r>
          </w:p>
        </w:tc>
        <w:tc>
          <w:tcPr>
            <w:tcW w:w="699" w:type="pct"/>
            <w:noWrap/>
            <w:vAlign w:val="bottom"/>
          </w:tcPr>
          <w:p w14:paraId="4869DD99" w14:textId="5C53A0F8" w:rsidR="007A6828" w:rsidRPr="00487EF8" w:rsidRDefault="007A6828" w:rsidP="007A6828">
            <w:pPr>
              <w:pStyle w:val="DataTable3x3by2wide"/>
            </w:pPr>
            <w:r>
              <w:t>0.5%</w:t>
            </w:r>
          </w:p>
        </w:tc>
        <w:tc>
          <w:tcPr>
            <w:tcW w:w="621" w:type="pct"/>
            <w:noWrap/>
            <w:hideMark/>
          </w:tcPr>
          <w:p w14:paraId="20670705" w14:textId="77777777" w:rsidR="007A6828" w:rsidRPr="00487EF8" w:rsidRDefault="007A6828" w:rsidP="007A6828">
            <w:pPr>
              <w:pStyle w:val="DataTable3x3by2wide"/>
            </w:pPr>
            <w:r w:rsidRPr="00487EF8">
              <w:t>4.0%</w:t>
            </w:r>
          </w:p>
        </w:tc>
        <w:tc>
          <w:tcPr>
            <w:tcW w:w="699" w:type="pct"/>
            <w:noWrap/>
            <w:vAlign w:val="bottom"/>
          </w:tcPr>
          <w:p w14:paraId="2B85111A" w14:textId="057B22DB" w:rsidR="007A6828" w:rsidRPr="00487EF8" w:rsidRDefault="007A6828" w:rsidP="007A6828">
            <w:pPr>
              <w:pStyle w:val="DataTable3x3by2wide"/>
            </w:pPr>
            <w:r>
              <w:t>3.3%</w:t>
            </w:r>
          </w:p>
        </w:tc>
        <w:tc>
          <w:tcPr>
            <w:tcW w:w="621" w:type="pct"/>
            <w:noWrap/>
            <w:hideMark/>
          </w:tcPr>
          <w:p w14:paraId="2AEDD475" w14:textId="77777777" w:rsidR="007A6828" w:rsidRPr="00487EF8" w:rsidRDefault="007A6828" w:rsidP="007A6828">
            <w:pPr>
              <w:pStyle w:val="DataTable3x3by2wide"/>
            </w:pPr>
            <w:r w:rsidRPr="00487EF8">
              <w:t>34.2%</w:t>
            </w:r>
          </w:p>
        </w:tc>
        <w:tc>
          <w:tcPr>
            <w:tcW w:w="700" w:type="pct"/>
            <w:noWrap/>
            <w:vAlign w:val="bottom"/>
          </w:tcPr>
          <w:p w14:paraId="00FC6752" w14:textId="0A9DA6DD" w:rsidR="007A6828" w:rsidRPr="00487EF8" w:rsidRDefault="007A6828" w:rsidP="007A6828">
            <w:pPr>
              <w:pStyle w:val="DataTable3x3by2wide"/>
            </w:pPr>
            <w:r>
              <w:t>4.7%</w:t>
            </w:r>
          </w:p>
        </w:tc>
        <w:tc>
          <w:tcPr>
            <w:tcW w:w="619" w:type="pct"/>
            <w:noWrap/>
            <w:hideMark/>
          </w:tcPr>
          <w:p w14:paraId="6E146DF5" w14:textId="77777777" w:rsidR="007A6828" w:rsidRPr="00487EF8" w:rsidRDefault="007A6828" w:rsidP="007A6828">
            <w:pPr>
              <w:pStyle w:val="DataTable3x3by2wide"/>
            </w:pPr>
            <w:r w:rsidRPr="00487EF8">
              <w:t>4.5%</w:t>
            </w:r>
          </w:p>
        </w:tc>
      </w:tr>
      <w:tr w:rsidR="007A6828" w:rsidRPr="00487EF8" w14:paraId="2A98582B" w14:textId="77777777" w:rsidTr="00EE488C">
        <w:trPr>
          <w:trHeight w:val="20"/>
        </w:trPr>
        <w:tc>
          <w:tcPr>
            <w:tcW w:w="1041" w:type="pct"/>
            <w:noWrap/>
            <w:hideMark/>
          </w:tcPr>
          <w:p w14:paraId="3078197F" w14:textId="77777777" w:rsidR="007A6828" w:rsidRPr="00487EF8" w:rsidRDefault="007A6828" w:rsidP="007A6828">
            <w:pPr>
              <w:pStyle w:val="DataTable3x3by2wide"/>
              <w:jc w:val="left"/>
            </w:pPr>
            <w:proofErr w:type="spellStart"/>
            <w:r w:rsidRPr="00487EF8">
              <w:t>Capt</w:t>
            </w:r>
            <w:proofErr w:type="spellEnd"/>
            <w:r w:rsidRPr="00487EF8">
              <w:t>-Excl</w:t>
            </w:r>
          </w:p>
        </w:tc>
        <w:tc>
          <w:tcPr>
            <w:tcW w:w="699" w:type="pct"/>
            <w:noWrap/>
            <w:vAlign w:val="bottom"/>
          </w:tcPr>
          <w:p w14:paraId="0A76E06D" w14:textId="0F534488" w:rsidR="007A6828" w:rsidRPr="00487EF8" w:rsidRDefault="007A6828" w:rsidP="007A6828">
            <w:pPr>
              <w:pStyle w:val="DataTable3x3by2wide"/>
            </w:pPr>
            <w:r>
              <w:t>8.7%</w:t>
            </w:r>
          </w:p>
        </w:tc>
        <w:tc>
          <w:tcPr>
            <w:tcW w:w="621" w:type="pct"/>
            <w:noWrap/>
            <w:hideMark/>
          </w:tcPr>
          <w:p w14:paraId="0D8C6D6C" w14:textId="77777777" w:rsidR="007A6828" w:rsidRPr="00487EF8" w:rsidRDefault="007A6828" w:rsidP="007A6828">
            <w:pPr>
              <w:pStyle w:val="DataTable3x3by2wide"/>
            </w:pPr>
            <w:r w:rsidRPr="00487EF8">
              <w:t>7.4%</w:t>
            </w:r>
          </w:p>
        </w:tc>
        <w:tc>
          <w:tcPr>
            <w:tcW w:w="699" w:type="pct"/>
            <w:noWrap/>
            <w:vAlign w:val="bottom"/>
          </w:tcPr>
          <w:p w14:paraId="5F4E8812" w14:textId="5FF4F044" w:rsidR="007A6828" w:rsidRPr="00487EF8" w:rsidRDefault="007A6828" w:rsidP="007A6828">
            <w:pPr>
              <w:pStyle w:val="DataTable3x3by2wide"/>
            </w:pPr>
            <w:r>
              <w:t>8.4%</w:t>
            </w:r>
          </w:p>
        </w:tc>
        <w:tc>
          <w:tcPr>
            <w:tcW w:w="621" w:type="pct"/>
            <w:noWrap/>
            <w:hideMark/>
          </w:tcPr>
          <w:p w14:paraId="62C71173" w14:textId="77777777" w:rsidR="007A6828" w:rsidRPr="00487EF8" w:rsidRDefault="007A6828" w:rsidP="007A6828">
            <w:pPr>
              <w:pStyle w:val="DataTable3x3by2wide"/>
            </w:pPr>
            <w:r w:rsidRPr="00487EF8">
              <w:t>6.4%</w:t>
            </w:r>
          </w:p>
        </w:tc>
        <w:tc>
          <w:tcPr>
            <w:tcW w:w="700" w:type="pct"/>
            <w:noWrap/>
            <w:vAlign w:val="bottom"/>
          </w:tcPr>
          <w:p w14:paraId="09F54CBC" w14:textId="5D172F92" w:rsidR="007A6828" w:rsidRPr="00487EF8" w:rsidRDefault="007A6828" w:rsidP="007A6828">
            <w:pPr>
              <w:pStyle w:val="DataTable3x3by2wide"/>
            </w:pPr>
            <w:r>
              <w:t>4.0%</w:t>
            </w:r>
          </w:p>
        </w:tc>
        <w:tc>
          <w:tcPr>
            <w:tcW w:w="619" w:type="pct"/>
            <w:noWrap/>
            <w:hideMark/>
          </w:tcPr>
          <w:p w14:paraId="228D879D" w14:textId="77777777" w:rsidR="007A6828" w:rsidRPr="00487EF8" w:rsidRDefault="007A6828" w:rsidP="007A6828">
            <w:pPr>
              <w:pStyle w:val="DataTable3x3by2wide"/>
            </w:pPr>
            <w:r w:rsidRPr="00487EF8">
              <w:t>2.5%</w:t>
            </w:r>
          </w:p>
        </w:tc>
      </w:tr>
      <w:tr w:rsidR="007A6828" w:rsidRPr="00487EF8" w14:paraId="6C5B8778" w14:textId="77777777" w:rsidTr="00EE488C">
        <w:trPr>
          <w:trHeight w:val="20"/>
        </w:trPr>
        <w:tc>
          <w:tcPr>
            <w:tcW w:w="1041" w:type="pct"/>
            <w:noWrap/>
            <w:hideMark/>
          </w:tcPr>
          <w:p w14:paraId="317B4410" w14:textId="77777777" w:rsidR="007A6828" w:rsidRPr="00487EF8" w:rsidRDefault="007A6828" w:rsidP="007A6828">
            <w:pPr>
              <w:pStyle w:val="DataTable3x3by2wide"/>
              <w:jc w:val="left"/>
            </w:pPr>
            <w:r w:rsidRPr="00487EF8">
              <w:t>Other</w:t>
            </w:r>
          </w:p>
        </w:tc>
        <w:tc>
          <w:tcPr>
            <w:tcW w:w="699" w:type="pct"/>
            <w:noWrap/>
            <w:vAlign w:val="bottom"/>
          </w:tcPr>
          <w:p w14:paraId="60EED681" w14:textId="0878D83F" w:rsidR="007A6828" w:rsidRPr="00487EF8" w:rsidRDefault="007A6828" w:rsidP="007A6828">
            <w:pPr>
              <w:pStyle w:val="DataTable3x3by2wide"/>
            </w:pPr>
            <w:r>
              <w:t>65.1%</w:t>
            </w:r>
          </w:p>
        </w:tc>
        <w:tc>
          <w:tcPr>
            <w:tcW w:w="621" w:type="pct"/>
            <w:noWrap/>
            <w:hideMark/>
          </w:tcPr>
          <w:p w14:paraId="45A7F1A6" w14:textId="77777777" w:rsidR="007A6828" w:rsidRPr="00487EF8" w:rsidRDefault="007A6828" w:rsidP="007A6828">
            <w:pPr>
              <w:pStyle w:val="DataTable3x3by2wide"/>
            </w:pPr>
            <w:r w:rsidRPr="00487EF8">
              <w:t>6.3%</w:t>
            </w:r>
          </w:p>
        </w:tc>
        <w:tc>
          <w:tcPr>
            <w:tcW w:w="699" w:type="pct"/>
            <w:noWrap/>
            <w:vAlign w:val="bottom"/>
          </w:tcPr>
          <w:p w14:paraId="56EE3E87" w14:textId="52B25032" w:rsidR="007A6828" w:rsidRPr="00487EF8" w:rsidRDefault="007A6828" w:rsidP="007A6828">
            <w:pPr>
              <w:pStyle w:val="DataTable3x3by2wide"/>
            </w:pPr>
            <w:r>
              <w:t>-9.0%</w:t>
            </w:r>
          </w:p>
        </w:tc>
        <w:tc>
          <w:tcPr>
            <w:tcW w:w="621" w:type="pct"/>
            <w:noWrap/>
            <w:hideMark/>
          </w:tcPr>
          <w:p w14:paraId="0CE196FD" w14:textId="77777777" w:rsidR="007A6828" w:rsidRPr="00487EF8" w:rsidRDefault="007A6828" w:rsidP="007A6828">
            <w:pPr>
              <w:pStyle w:val="DataTable3x3by2wide"/>
            </w:pPr>
            <w:r w:rsidRPr="00487EF8">
              <w:t>-0.9%</w:t>
            </w:r>
          </w:p>
        </w:tc>
        <w:tc>
          <w:tcPr>
            <w:tcW w:w="700" w:type="pct"/>
            <w:noWrap/>
            <w:vAlign w:val="bottom"/>
          </w:tcPr>
          <w:p w14:paraId="456A2880" w14:textId="5D88D239" w:rsidR="007A6828" w:rsidRPr="00487EF8" w:rsidRDefault="007A6828" w:rsidP="007A6828">
            <w:pPr>
              <w:pStyle w:val="DataTable3x3by2wide"/>
            </w:pPr>
            <w:r>
              <w:t>-3.1%</w:t>
            </w:r>
          </w:p>
        </w:tc>
        <w:tc>
          <w:tcPr>
            <w:tcW w:w="619" w:type="pct"/>
            <w:noWrap/>
            <w:hideMark/>
          </w:tcPr>
          <w:p w14:paraId="14A08002" w14:textId="77777777" w:rsidR="007A6828" w:rsidRPr="00487EF8" w:rsidRDefault="007A6828" w:rsidP="007A6828">
            <w:pPr>
              <w:pStyle w:val="DataTable3x3by2wide"/>
            </w:pPr>
            <w:r w:rsidRPr="00487EF8">
              <w:t>1.3%</w:t>
            </w:r>
          </w:p>
        </w:tc>
      </w:tr>
      <w:tr w:rsidR="007A6828" w:rsidRPr="00487EF8" w14:paraId="695FC668" w14:textId="77777777" w:rsidTr="00EE488C">
        <w:trPr>
          <w:trHeight w:val="20"/>
        </w:trPr>
        <w:tc>
          <w:tcPr>
            <w:tcW w:w="1041" w:type="pct"/>
            <w:noWrap/>
            <w:hideMark/>
          </w:tcPr>
          <w:p w14:paraId="0E68F005" w14:textId="77777777" w:rsidR="007A6828" w:rsidRPr="00487EF8" w:rsidRDefault="007A6828" w:rsidP="007A6828">
            <w:pPr>
              <w:pStyle w:val="DataTable3x3by2wide"/>
              <w:jc w:val="left"/>
            </w:pPr>
            <w:r w:rsidRPr="00487EF8">
              <w:t>E&amp;S</w:t>
            </w:r>
          </w:p>
        </w:tc>
        <w:tc>
          <w:tcPr>
            <w:tcW w:w="699" w:type="pct"/>
            <w:noWrap/>
            <w:vAlign w:val="bottom"/>
          </w:tcPr>
          <w:p w14:paraId="6ACCB92B" w14:textId="1F0C9D44" w:rsidR="007A6828" w:rsidRPr="00487EF8" w:rsidRDefault="007A6828" w:rsidP="007A6828">
            <w:pPr>
              <w:pStyle w:val="DataTable3x3by2wide"/>
            </w:pPr>
            <w:r>
              <w:t>22.9%</w:t>
            </w:r>
          </w:p>
        </w:tc>
        <w:tc>
          <w:tcPr>
            <w:tcW w:w="621" w:type="pct"/>
            <w:noWrap/>
            <w:hideMark/>
          </w:tcPr>
          <w:p w14:paraId="4AE8A028" w14:textId="77777777" w:rsidR="007A6828" w:rsidRPr="00487EF8" w:rsidRDefault="007A6828" w:rsidP="007A6828">
            <w:pPr>
              <w:pStyle w:val="DataTable3x3by2wide"/>
            </w:pPr>
            <w:r w:rsidRPr="00487EF8">
              <w:t>27.1%</w:t>
            </w:r>
          </w:p>
        </w:tc>
        <w:tc>
          <w:tcPr>
            <w:tcW w:w="699" w:type="pct"/>
            <w:noWrap/>
            <w:vAlign w:val="bottom"/>
          </w:tcPr>
          <w:p w14:paraId="5954E9FC" w14:textId="1DBB72CC" w:rsidR="007A6828" w:rsidRPr="00487EF8" w:rsidRDefault="007A6828" w:rsidP="007A6828">
            <w:pPr>
              <w:pStyle w:val="DataTable3x3by2wide"/>
            </w:pPr>
            <w:r>
              <w:t>18.7%</w:t>
            </w:r>
          </w:p>
        </w:tc>
        <w:tc>
          <w:tcPr>
            <w:tcW w:w="621" w:type="pct"/>
            <w:noWrap/>
            <w:hideMark/>
          </w:tcPr>
          <w:p w14:paraId="29A13F04" w14:textId="77777777" w:rsidR="007A6828" w:rsidRPr="00487EF8" w:rsidRDefault="007A6828" w:rsidP="007A6828">
            <w:pPr>
              <w:pStyle w:val="DataTable3x3by2wide"/>
            </w:pPr>
            <w:r w:rsidRPr="00487EF8">
              <w:t>29.7%</w:t>
            </w:r>
          </w:p>
        </w:tc>
        <w:tc>
          <w:tcPr>
            <w:tcW w:w="700" w:type="pct"/>
            <w:noWrap/>
            <w:vAlign w:val="bottom"/>
          </w:tcPr>
          <w:p w14:paraId="29FB4775" w14:textId="64F5BAE8" w:rsidR="007A6828" w:rsidRPr="00487EF8" w:rsidRDefault="007A6828" w:rsidP="007A6828">
            <w:pPr>
              <w:pStyle w:val="DataTable3x3by2wide"/>
            </w:pPr>
            <w:r>
              <w:t>11.1%</w:t>
            </w:r>
          </w:p>
        </w:tc>
        <w:tc>
          <w:tcPr>
            <w:tcW w:w="619" w:type="pct"/>
            <w:noWrap/>
            <w:hideMark/>
          </w:tcPr>
          <w:p w14:paraId="27F12687" w14:textId="77777777" w:rsidR="007A6828" w:rsidRPr="00487EF8" w:rsidRDefault="007A6828" w:rsidP="007A6828">
            <w:pPr>
              <w:pStyle w:val="DataTable3x3by2wide"/>
            </w:pPr>
            <w:r w:rsidRPr="00487EF8">
              <w:t>18.3%</w:t>
            </w:r>
          </w:p>
        </w:tc>
      </w:tr>
      <w:tr w:rsidR="007A6828" w:rsidRPr="00487EF8" w14:paraId="178F1266" w14:textId="77777777" w:rsidTr="00EE488C">
        <w:trPr>
          <w:trHeight w:val="20"/>
        </w:trPr>
        <w:tc>
          <w:tcPr>
            <w:tcW w:w="1041" w:type="pct"/>
            <w:noWrap/>
            <w:hideMark/>
          </w:tcPr>
          <w:p w14:paraId="1A4B7AEB" w14:textId="77777777" w:rsidR="007A6828" w:rsidRPr="00487EF8" w:rsidRDefault="007A6828" w:rsidP="007A6828">
            <w:pPr>
              <w:pStyle w:val="DataTable3x3by2wide"/>
              <w:jc w:val="left"/>
            </w:pPr>
            <w:r w:rsidRPr="00487EF8">
              <w:t>RRGs</w:t>
            </w:r>
          </w:p>
        </w:tc>
        <w:tc>
          <w:tcPr>
            <w:tcW w:w="699" w:type="pct"/>
            <w:noWrap/>
            <w:vAlign w:val="bottom"/>
          </w:tcPr>
          <w:p w14:paraId="5CB75BDE" w14:textId="41F9EBE8" w:rsidR="007A6828" w:rsidRPr="00487EF8" w:rsidRDefault="007A6828" w:rsidP="007A6828">
            <w:pPr>
              <w:pStyle w:val="DataTable3x3by2wide"/>
            </w:pPr>
            <w:r>
              <w:t>63.9%</w:t>
            </w:r>
          </w:p>
        </w:tc>
        <w:tc>
          <w:tcPr>
            <w:tcW w:w="621" w:type="pct"/>
            <w:noWrap/>
            <w:hideMark/>
          </w:tcPr>
          <w:p w14:paraId="014C2CF8" w14:textId="77777777" w:rsidR="007A6828" w:rsidRPr="00487EF8" w:rsidRDefault="007A6828" w:rsidP="007A6828">
            <w:pPr>
              <w:pStyle w:val="DataTable3x3by2wide"/>
            </w:pPr>
            <w:r w:rsidRPr="00487EF8">
              <w:t>7.7%</w:t>
            </w:r>
          </w:p>
        </w:tc>
        <w:tc>
          <w:tcPr>
            <w:tcW w:w="699" w:type="pct"/>
            <w:noWrap/>
            <w:vAlign w:val="bottom"/>
          </w:tcPr>
          <w:p w14:paraId="6265C6FC" w14:textId="3B2FAD6A" w:rsidR="007A6828" w:rsidRPr="00487EF8" w:rsidRDefault="007A6828" w:rsidP="007A6828">
            <w:pPr>
              <w:pStyle w:val="DataTable3x3by2wide"/>
            </w:pPr>
            <w:r>
              <w:t>-45.1%</w:t>
            </w:r>
          </w:p>
        </w:tc>
        <w:tc>
          <w:tcPr>
            <w:tcW w:w="621" w:type="pct"/>
            <w:noWrap/>
            <w:hideMark/>
          </w:tcPr>
          <w:p w14:paraId="758FA7C8" w14:textId="77777777" w:rsidR="007A6828" w:rsidRPr="00487EF8" w:rsidRDefault="007A6828" w:rsidP="007A6828">
            <w:pPr>
              <w:pStyle w:val="DataTable3x3by2wide"/>
            </w:pPr>
            <w:r w:rsidRPr="00487EF8">
              <w:t>12.9%</w:t>
            </w:r>
          </w:p>
        </w:tc>
        <w:tc>
          <w:tcPr>
            <w:tcW w:w="700" w:type="pct"/>
            <w:noWrap/>
            <w:vAlign w:val="bottom"/>
          </w:tcPr>
          <w:p w14:paraId="2324A117" w14:textId="42104D31" w:rsidR="007A6828" w:rsidRPr="00487EF8" w:rsidRDefault="007A6828" w:rsidP="007A6828">
            <w:pPr>
              <w:pStyle w:val="DataTable3x3by2wide"/>
            </w:pPr>
            <w:r>
              <w:t>-14.2%</w:t>
            </w:r>
          </w:p>
        </w:tc>
        <w:tc>
          <w:tcPr>
            <w:tcW w:w="619" w:type="pct"/>
            <w:noWrap/>
            <w:hideMark/>
          </w:tcPr>
          <w:p w14:paraId="4F44A587" w14:textId="77777777" w:rsidR="007A6828" w:rsidRPr="00487EF8" w:rsidRDefault="007A6828" w:rsidP="007A6828">
            <w:pPr>
              <w:pStyle w:val="DataTable3x3by2wide"/>
            </w:pPr>
            <w:r w:rsidRPr="00487EF8">
              <w:t>8.5%</w:t>
            </w:r>
          </w:p>
        </w:tc>
      </w:tr>
      <w:tr w:rsidR="007A6828" w:rsidRPr="00487EF8" w14:paraId="3A200FCC" w14:textId="77777777" w:rsidTr="00EE488C">
        <w:trPr>
          <w:trHeight w:val="20"/>
        </w:trPr>
        <w:tc>
          <w:tcPr>
            <w:tcW w:w="1041" w:type="pct"/>
            <w:tcBorders>
              <w:bottom w:val="single" w:sz="4" w:space="0" w:color="auto"/>
            </w:tcBorders>
            <w:noWrap/>
            <w:hideMark/>
          </w:tcPr>
          <w:p w14:paraId="66C18B2D" w14:textId="77777777" w:rsidR="007A6828" w:rsidRPr="00487EF8" w:rsidRDefault="007A6828" w:rsidP="007A6828">
            <w:pPr>
              <w:pStyle w:val="DataTable3x3by2wide"/>
              <w:jc w:val="left"/>
            </w:pPr>
            <w:r w:rsidRPr="00487EF8">
              <w:t>Admitted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noWrap/>
            <w:vAlign w:val="bottom"/>
          </w:tcPr>
          <w:p w14:paraId="2A051910" w14:textId="2BDBF195" w:rsidR="007A6828" w:rsidRPr="00487EF8" w:rsidRDefault="007A6828" w:rsidP="007A6828">
            <w:pPr>
              <w:pStyle w:val="DataTable3x3by2wide"/>
            </w:pPr>
            <w:r>
              <w:t>14.0%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noWrap/>
            <w:hideMark/>
          </w:tcPr>
          <w:p w14:paraId="209F3AE1" w14:textId="77777777" w:rsidR="007A6828" w:rsidRPr="00487EF8" w:rsidRDefault="007A6828" w:rsidP="007A6828">
            <w:pPr>
              <w:pStyle w:val="DataTable3x3by2wide"/>
            </w:pPr>
            <w:r w:rsidRPr="00487EF8">
              <w:t>8.2%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noWrap/>
            <w:vAlign w:val="bottom"/>
          </w:tcPr>
          <w:p w14:paraId="17A288D5" w14:textId="2F1C82EA" w:rsidR="007A6828" w:rsidRPr="00487EF8" w:rsidRDefault="007A6828" w:rsidP="007A6828">
            <w:pPr>
              <w:pStyle w:val="DataTable3x3by2wide"/>
            </w:pPr>
            <w:r>
              <w:t>12.3%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noWrap/>
            <w:hideMark/>
          </w:tcPr>
          <w:p w14:paraId="5168049B" w14:textId="77777777" w:rsidR="007A6828" w:rsidRPr="00487EF8" w:rsidRDefault="007A6828" w:rsidP="007A6828">
            <w:pPr>
              <w:pStyle w:val="DataTable3x3by2wide"/>
            </w:pPr>
            <w:r w:rsidRPr="00487EF8">
              <w:t>8.8%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noWrap/>
            <w:vAlign w:val="bottom"/>
          </w:tcPr>
          <w:p w14:paraId="1E85951D" w14:textId="066E34C2" w:rsidR="007A6828" w:rsidRPr="00487EF8" w:rsidRDefault="007A6828" w:rsidP="007A6828">
            <w:pPr>
              <w:pStyle w:val="DataTable3x3by2wide"/>
            </w:pPr>
            <w:r>
              <w:t>8.7%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noWrap/>
            <w:hideMark/>
          </w:tcPr>
          <w:p w14:paraId="05B6351B" w14:textId="77777777" w:rsidR="007A6828" w:rsidRPr="00487EF8" w:rsidRDefault="007A6828" w:rsidP="007A6828">
            <w:pPr>
              <w:pStyle w:val="DataTable3x3by2wide"/>
            </w:pPr>
            <w:r w:rsidRPr="00487EF8">
              <w:t>5.0%</w:t>
            </w:r>
          </w:p>
        </w:tc>
      </w:tr>
      <w:tr w:rsidR="009B004E" w:rsidRPr="00487EF8" w14:paraId="7B90317D" w14:textId="77777777" w:rsidTr="009B004E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A2C2B91" w14:textId="56EF76C4" w:rsidR="009B004E" w:rsidRPr="00487EF8" w:rsidRDefault="009B004E" w:rsidP="009B004E">
            <w:pPr>
              <w:pStyle w:val="DataTable3x3by2wide"/>
              <w:jc w:val="left"/>
            </w:pPr>
            <w:r>
              <w:t>Table 15</w:t>
            </w:r>
          </w:p>
        </w:tc>
      </w:tr>
    </w:tbl>
    <w:p w14:paraId="3B7BC12E" w14:textId="136476E4" w:rsidR="00763EDE" w:rsidRPr="00DD386D" w:rsidRDefault="00763EDE" w:rsidP="00DD386D">
      <w:pPr>
        <w:pStyle w:val="FiguresandAMBestSource"/>
        <w:rPr>
          <w:rStyle w:val="SubtleEmphasis"/>
          <w:i w:val="0"/>
          <w:iCs w:val="0"/>
          <w:color w:val="auto"/>
        </w:rPr>
      </w:pPr>
      <w:r w:rsidRPr="00DD386D">
        <w:rPr>
          <w:rStyle w:val="SubtleEmphasis"/>
          <w:i w:val="0"/>
          <w:iCs w:val="0"/>
          <w:color w:val="auto"/>
        </w:rPr>
        <w:t>Source: © A.M. Best Company — used by permission.</w:t>
      </w:r>
    </w:p>
    <w:p w14:paraId="15AED196" w14:textId="6AD6E127" w:rsidR="00763EDE" w:rsidRPr="00FD7BC2" w:rsidRDefault="00917021" w:rsidP="0077092A">
      <w:pPr>
        <w:pStyle w:val="NotesorCommetns"/>
      </w:pPr>
      <w:r>
        <w:t>Notes:</w:t>
      </w:r>
    </w:p>
    <w:p w14:paraId="0461EADD" w14:textId="34F65193" w:rsidR="00763EDE" w:rsidRDefault="00990340" w:rsidP="003E3030">
      <w:bookmarkStart w:id="6" w:name="_Hlk81838069"/>
      <w:r>
        <w:t>Figures 15</w:t>
      </w:r>
      <w:r w:rsidR="005A33D1">
        <w:t>-17</w:t>
      </w:r>
      <w:r>
        <w:t xml:space="preserve"> give a </w:t>
      </w:r>
      <w:r w:rsidR="00A5389A">
        <w:t xml:space="preserve">comparison of </w:t>
      </w:r>
      <w:r w:rsidR="00006B17">
        <w:t>Nebraska</w:t>
      </w:r>
      <w:r>
        <w:t xml:space="preserve"> </w:t>
      </w:r>
      <w:r w:rsidR="00A5389A">
        <w:t xml:space="preserve">to </w:t>
      </w:r>
      <w:r>
        <w:t xml:space="preserve">the </w:t>
      </w:r>
      <w:r w:rsidR="00C76B4C">
        <w:t>United States</w:t>
      </w:r>
      <w:r>
        <w:t xml:space="preserve"> in a </w:t>
      </w:r>
      <w:r w:rsidR="00913AC5">
        <w:t xml:space="preserve">side-by-side </w:t>
      </w:r>
      <w:r w:rsidR="00296277">
        <w:t>manner</w:t>
      </w:r>
      <w:r w:rsidR="005A6364">
        <w:t xml:space="preserve"> for all premiums, selected distribution styles, and selected regulatory regimes</w:t>
      </w:r>
      <w:r>
        <w:t xml:space="preserve">.  </w:t>
      </w:r>
      <w:r w:rsidR="005A6364">
        <w:t xml:space="preserve">Table 15 </w:t>
      </w:r>
      <w:r w:rsidR="00236221">
        <w:t xml:space="preserve">provides </w:t>
      </w:r>
      <w:r w:rsidR="00AD2E38">
        <w:t xml:space="preserve">the growth percentages for </w:t>
      </w:r>
      <w:r w:rsidR="00006B17">
        <w:t>Nebraska</w:t>
      </w:r>
      <w:r w:rsidR="00AD2E38">
        <w:t xml:space="preserve"> and United States</w:t>
      </w:r>
      <w:r w:rsidR="003215C2">
        <w:t xml:space="preserve">, as </w:t>
      </w:r>
      <w:r w:rsidR="00236221">
        <w:t xml:space="preserve">more precise </w:t>
      </w:r>
      <w:r w:rsidR="00AD2E38">
        <w:t xml:space="preserve">percentages </w:t>
      </w:r>
      <w:r w:rsidR="003215C2">
        <w:t>are not conducive to display in Figures 15-17.  You will also notice that Table 15 contains additional growth percentages for Admitted, IA or Broker, MGA and IA-Mixed</w:t>
      </w:r>
      <w:r w:rsidR="00AD2E38">
        <w:t>.</w:t>
      </w:r>
    </w:p>
    <w:p w14:paraId="4A104EDB" w14:textId="0099876F" w:rsidR="00D92791" w:rsidRDefault="00D92791">
      <w:r>
        <w:br w:type="page"/>
      </w:r>
    </w:p>
    <w:p w14:paraId="4FBD6D14" w14:textId="2950D52C" w:rsidR="00D92791" w:rsidRPr="00FB1207" w:rsidRDefault="00D92791" w:rsidP="00FB1207">
      <w:pPr>
        <w:pStyle w:val="Heading1-NoCollasping"/>
      </w:pPr>
      <w:r w:rsidRPr="00FB1207">
        <w:lastRenderedPageBreak/>
        <w:t>Top 50: Largest and Fastest Growing</w:t>
      </w:r>
      <w:r w:rsidR="00953760" w:rsidRPr="00FB1207">
        <w:t xml:space="preserve"> Insurers</w:t>
      </w:r>
    </w:p>
    <w:p w14:paraId="73E66925" w14:textId="77777777" w:rsidR="008B7E26" w:rsidRDefault="0068068C" w:rsidP="00F34B05">
      <w:r>
        <w:t>T</w:t>
      </w:r>
      <w:r w:rsidR="00953760">
        <w:t xml:space="preserve">he following pages </w:t>
      </w:r>
      <w:r>
        <w:t xml:space="preserve">contain </w:t>
      </w:r>
      <w:r w:rsidR="00D92791">
        <w:t xml:space="preserve">quarterly data for the 50 largest </w:t>
      </w:r>
      <w:r w:rsidR="008B7E26">
        <w:t xml:space="preserve">and fastest growing </w:t>
      </w:r>
      <w:r w:rsidR="004F7AF4">
        <w:t>insurers</w:t>
      </w:r>
      <w:r w:rsidR="00D86F73">
        <w:t>.</w:t>
      </w:r>
    </w:p>
    <w:p w14:paraId="496C3B84" w14:textId="7F15F7D3" w:rsidR="00CE200B" w:rsidRDefault="00D86F73" w:rsidP="00F34B05">
      <w:r w:rsidRPr="008D1C31">
        <w:t>Table 16</w:t>
      </w:r>
      <w:r w:rsidR="00AC1A66">
        <w:t xml:space="preserve"> – </w:t>
      </w:r>
      <w:r w:rsidR="00006B17">
        <w:rPr>
          <w:i/>
          <w:iCs/>
        </w:rPr>
        <w:t>Nebraska</w:t>
      </w:r>
      <w:r w:rsidRPr="00D86F73">
        <w:rPr>
          <w:i/>
          <w:iCs/>
        </w:rPr>
        <w:t>: Top 50 Largest Insurers-Growth, Premiums, Marketing Type, and Biggest Line of Business</w:t>
      </w:r>
      <w:r w:rsidR="004F7AF4">
        <w:t xml:space="preserve"> </w:t>
      </w:r>
      <w:r>
        <w:t xml:space="preserve">is provided to highlight the largest insurers.  </w:t>
      </w:r>
      <w:r w:rsidR="00F34B05">
        <w:t>Table 16</w:t>
      </w:r>
      <w:r w:rsidR="00F34B05" w:rsidRPr="00540FF4">
        <w:t xml:space="preserve"> is sorted </w:t>
      </w:r>
      <w:r w:rsidR="00F34B05">
        <w:t xml:space="preserve">in descending order of each insurer’s rolling 12-month </w:t>
      </w:r>
      <w:r w:rsidR="00F34B05" w:rsidRPr="00540FF4">
        <w:t xml:space="preserve">premium dollars.  </w:t>
      </w:r>
    </w:p>
    <w:p w14:paraId="25056F46" w14:textId="63DE07F4" w:rsidR="008B7E26" w:rsidRDefault="00D86F73" w:rsidP="00F34B05">
      <w:r w:rsidRPr="008D1C31">
        <w:t>Table 17</w:t>
      </w:r>
      <w:r w:rsidR="00AC1A66">
        <w:rPr>
          <w:i/>
          <w:iCs/>
        </w:rPr>
        <w:t xml:space="preserve"> – </w:t>
      </w:r>
      <w:r w:rsidR="00006B17">
        <w:rPr>
          <w:i/>
          <w:iCs/>
        </w:rPr>
        <w:t>Nebraska</w:t>
      </w:r>
      <w:r w:rsidRPr="00D86F73">
        <w:rPr>
          <w:i/>
          <w:iCs/>
        </w:rPr>
        <w:t>: Top 50 Fastest Growing Insurers-Growth, Premiums, Marketing Type, and Biggest Line</w:t>
      </w:r>
      <w:r w:rsidR="00003791">
        <w:rPr>
          <w:i/>
          <w:iCs/>
        </w:rPr>
        <w:t xml:space="preserve"> of Business</w:t>
      </w:r>
      <w:r w:rsidRPr="00D86F73">
        <w:t xml:space="preserve"> </w:t>
      </w:r>
      <w:r>
        <w:t xml:space="preserve">is provided </w:t>
      </w:r>
      <w:r w:rsidR="00D92791">
        <w:t xml:space="preserve">to highlight those </w:t>
      </w:r>
      <w:r>
        <w:t xml:space="preserve">insurers </w:t>
      </w:r>
      <w:r w:rsidR="00D92791">
        <w:t xml:space="preserve">with the highest growth rates.  </w:t>
      </w:r>
      <w:r w:rsidR="00F34B05">
        <w:t>Table 17</w:t>
      </w:r>
      <w:r w:rsidR="00F34B05" w:rsidRPr="00540FF4">
        <w:t xml:space="preserve"> is sorted by the average premium growth rate</w:t>
      </w:r>
      <w:r w:rsidR="00F34B05">
        <w:t xml:space="preserve"> over the past 4 years</w:t>
      </w:r>
      <w:r w:rsidR="00F34B05" w:rsidRPr="00540FF4">
        <w:t>.</w:t>
      </w:r>
      <w:r w:rsidR="00F34B05">
        <w:t xml:space="preserve"> </w:t>
      </w:r>
    </w:p>
    <w:p w14:paraId="0D42C5C7" w14:textId="77777777" w:rsidR="00277804" w:rsidRDefault="00277804" w:rsidP="00277804">
      <w:bookmarkStart w:id="7" w:name="_Hlk106871325"/>
      <w:r>
        <w:t xml:space="preserve">If a Top 50 largest insurer in Table 16 is also a Top 50 fastest growing insurer seen in Table 17, it is highlighted in Table 16 with </w:t>
      </w:r>
      <w:r w:rsidRPr="0010789D">
        <w:rPr>
          <w:shd w:val="clear" w:color="auto" w:fill="E2EFD9" w:themeFill="accent6" w:themeFillTint="33"/>
        </w:rPr>
        <w:t>green shading</w:t>
      </w:r>
      <w:r>
        <w:t xml:space="preserve"> and </w:t>
      </w:r>
      <w:r w:rsidRPr="0010789D">
        <w:rPr>
          <w:b/>
          <w:bCs/>
        </w:rPr>
        <w:t>bold text</w:t>
      </w:r>
      <w:r>
        <w:t>.  At the bottom of Table 16 and Table 17 is the sum-total of all the premiums of all 50 insurers listed, as well as the weighted average of the growth rates.</w:t>
      </w:r>
    </w:p>
    <w:bookmarkEnd w:id="7"/>
    <w:p w14:paraId="0B1DE5B5" w14:textId="1C61A5E5" w:rsidR="00F34B05" w:rsidRDefault="00F34B05" w:rsidP="00F34B05">
      <w:r>
        <w:t xml:space="preserve">In both tables attributes and data on each insurer are provided.  First is the policy-issuing insurer’s group or fleet, if any.  Second is the annualized premiums for the preceding rolling 12-months (4 quarters).  Third is the marketing type(s) listed by the insurer.  Fourth is the insurer’s largest line of business. </w:t>
      </w:r>
      <w:r w:rsidR="00435FB0">
        <w:t xml:space="preserve"> </w:t>
      </w:r>
      <w:r>
        <w:t>Last is the 3 measures of growth in premiums for each insurer.</w:t>
      </w:r>
    </w:p>
    <w:p w14:paraId="1CED5869" w14:textId="6AFFD89B" w:rsidR="004049D4" w:rsidRDefault="009C0904" w:rsidP="001E28AA">
      <w:r>
        <w:t xml:space="preserve">Take note </w:t>
      </w:r>
      <w:r w:rsidR="00B359A7">
        <w:t>that the insurers shown are individual policy-issuing insurers</w:t>
      </w:r>
      <w:r w:rsidR="00003791">
        <w:t>,</w:t>
      </w:r>
      <w:r w:rsidR="00A75387">
        <w:t xml:space="preserve"> and not broader groups or the brand you might associate with an insurer.  </w:t>
      </w:r>
      <w:r w:rsidR="00A4442F">
        <w:t>Within insurer groups some policy-issuing insurers can grow faster or slower than the overall group</w:t>
      </w:r>
      <w:r w:rsidR="00D86F73">
        <w:t>,</w:t>
      </w:r>
      <w:r w:rsidR="00A4442F">
        <w:t xml:space="preserve"> or other insurers in the group.</w:t>
      </w:r>
      <w:r w:rsidR="00F34B05">
        <w:t xml:space="preserve">  Also, note </w:t>
      </w:r>
      <w:r w:rsidR="00F156DF">
        <w:t>t</w:t>
      </w:r>
      <w:r w:rsidR="00D92791">
        <w:t>h</w:t>
      </w:r>
      <w:r w:rsidR="0077104C">
        <w:t>at th</w:t>
      </w:r>
      <w:r w:rsidR="00D92791">
        <w:t xml:space="preserve">e largest line of business for each insurer </w:t>
      </w:r>
      <w:r w:rsidR="00003791">
        <w:t>shown in Table 16 and Table 17 are</w:t>
      </w:r>
      <w:r w:rsidR="00D92791">
        <w:t xml:space="preserve"> based on the </w:t>
      </w:r>
      <w:r w:rsidR="00E00A8B">
        <w:t xml:space="preserve">United States </w:t>
      </w:r>
      <w:r w:rsidR="00900CB8">
        <w:t xml:space="preserve">line of business </w:t>
      </w:r>
      <w:r w:rsidR="00D92791">
        <w:t>premiums for</w:t>
      </w:r>
      <w:r w:rsidR="00B34B58">
        <w:t xml:space="preserve"> 202</w:t>
      </w:r>
      <w:r w:rsidR="007E0070">
        <w:t>1</w:t>
      </w:r>
      <w:r w:rsidR="00A94155">
        <w:t xml:space="preserve">.  </w:t>
      </w:r>
      <w:r w:rsidR="00D92791">
        <w:t xml:space="preserve">The line of business listed as largest may not be the largest line of business in </w:t>
      </w:r>
      <w:r w:rsidR="00006B17">
        <w:t>Nebraska</w:t>
      </w:r>
      <w:r w:rsidR="007E0070">
        <w:t xml:space="preserve"> </w:t>
      </w:r>
      <w:r w:rsidR="00D92791">
        <w:t>for that insurer</w:t>
      </w:r>
      <w:r w:rsidR="00885A59">
        <w:t>,</w:t>
      </w:r>
      <w:r w:rsidR="006D024C">
        <w:t xml:space="preserve"> or the largest line in this most recent quarter</w:t>
      </w:r>
      <w:r w:rsidR="00D92791">
        <w:t xml:space="preserve">.  The ranking of lines of business for an insurer </w:t>
      </w:r>
      <w:r w:rsidR="009B0DB5">
        <w:t>in</w:t>
      </w:r>
      <w:r w:rsidR="00D92791">
        <w:t xml:space="preserve"> </w:t>
      </w:r>
      <w:r w:rsidR="00006B17">
        <w:t>Nebraska</w:t>
      </w:r>
      <w:r w:rsidR="00D92791">
        <w:t xml:space="preserve"> can be determined from the annual data</w:t>
      </w:r>
      <w:r w:rsidR="009B0DB5">
        <w:t>,</w:t>
      </w:r>
      <w:r w:rsidR="00D92791">
        <w:t xml:space="preserve"> but not f</w:t>
      </w:r>
      <w:r w:rsidR="00B70A70">
        <w:t>rom</w:t>
      </w:r>
      <w:r w:rsidR="00D92791">
        <w:t xml:space="preserve"> the quarter</w:t>
      </w:r>
      <w:r w:rsidR="00B70A70">
        <w:t>ly data</w:t>
      </w:r>
      <w:r w:rsidR="00D92791">
        <w:t>.</w:t>
      </w:r>
    </w:p>
    <w:bookmarkEnd w:id="6"/>
    <w:p w14:paraId="69DD6A06" w14:textId="61600506" w:rsidR="00C10F46" w:rsidRPr="00CD5572" w:rsidRDefault="00C10F46" w:rsidP="00FB6AD2">
      <w:pPr>
        <w:pStyle w:val="Heading2-NoCollapsing"/>
      </w:pPr>
      <w:r w:rsidRPr="00CD5572">
        <w:t>How to use this information</w:t>
      </w:r>
    </w:p>
    <w:p w14:paraId="6E39665B" w14:textId="3BADA5A0" w:rsidR="00C10F46" w:rsidRDefault="00C10F46" w:rsidP="00C10F46">
      <w:r>
        <w:t xml:space="preserve">Look for premium trends </w:t>
      </w:r>
      <w:r w:rsidR="00CE200B">
        <w:t xml:space="preserve">regarding </w:t>
      </w:r>
      <w:r>
        <w:t xml:space="preserve">competitors, or </w:t>
      </w:r>
      <w:r w:rsidR="00CE200B">
        <w:t xml:space="preserve">for the </w:t>
      </w:r>
      <w:r>
        <w:t>insurers you use.  Examine what line of business is most important to the insurer.  The fastest growing insurers might be recent competitors formed in the “</w:t>
      </w:r>
      <w:proofErr w:type="spellStart"/>
      <w:r>
        <w:t>insurtech</w:t>
      </w:r>
      <w:proofErr w:type="spellEnd"/>
      <w:r>
        <w:t>” sphere</w:t>
      </w:r>
      <w:r w:rsidR="006D0A18">
        <w:t>,</w:t>
      </w:r>
      <w:r w:rsidR="00F15E56">
        <w:t xml:space="preserve"> or insurers in the trade press</w:t>
      </w:r>
      <w:r>
        <w:t xml:space="preserve">.  </w:t>
      </w:r>
      <w:proofErr w:type="gramStart"/>
      <w:r>
        <w:t>Or,</w:t>
      </w:r>
      <w:proofErr w:type="gramEnd"/>
      <w:r>
        <w:t xml:space="preserve"> they might be markets for you to investigate gaining access to through a program administrator, MGA, or via a direct appointment.</w:t>
      </w:r>
    </w:p>
    <w:p w14:paraId="57C6D838" w14:textId="0261C16D" w:rsidR="0093570B" w:rsidRDefault="0093570B" w:rsidP="00C10F46"/>
    <w:p w14:paraId="295D25DE" w14:textId="77777777" w:rsidR="00EF3953" w:rsidRDefault="00EF395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4EE91B4" w14:textId="77777777" w:rsidR="008078AD" w:rsidRPr="00FB1207" w:rsidRDefault="008078AD" w:rsidP="00FB1207">
      <w:pPr>
        <w:pStyle w:val="Heading1-NoCollasping"/>
        <w:sectPr w:rsidR="008078AD" w:rsidRPr="00FB1207" w:rsidSect="00827C23">
          <w:footerReference w:type="default" r:id="rId21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54B1E56" w14:textId="266B4DB3" w:rsidR="00494391" w:rsidRPr="00995AB3" w:rsidRDefault="00006B17" w:rsidP="00995AB3">
      <w:pPr>
        <w:pStyle w:val="Heading2-Landscape"/>
      </w:pPr>
      <w:r>
        <w:lastRenderedPageBreak/>
        <w:t>Nebraska</w:t>
      </w:r>
      <w:r w:rsidR="00376C4E" w:rsidRPr="00995AB3">
        <w:t xml:space="preserve">: Top 50 </w:t>
      </w:r>
      <w:r w:rsidR="00CF690E" w:rsidRPr="00995AB3">
        <w:t xml:space="preserve">Largest </w:t>
      </w:r>
      <w:r w:rsidR="00376C4E" w:rsidRPr="00995AB3">
        <w:t>Insurers-</w:t>
      </w:r>
      <w:r w:rsidR="00263DF9" w:rsidRPr="00995AB3">
        <w:t>Growth, Premiums</w:t>
      </w:r>
      <w:r w:rsidR="00691EEB" w:rsidRPr="00995AB3">
        <w:t xml:space="preserve">, </w:t>
      </w:r>
      <w:r w:rsidR="00A812D7" w:rsidRPr="00995AB3">
        <w:t>Marketing Type</w:t>
      </w:r>
      <w:r w:rsidR="00010E49" w:rsidRPr="00995AB3">
        <w:t>,</w:t>
      </w:r>
      <w:r w:rsidR="00691EEB" w:rsidRPr="00995AB3">
        <w:t xml:space="preserve"> and Biggest</w:t>
      </w:r>
      <w:r w:rsidR="001A19FB" w:rsidRPr="00995AB3">
        <w:t xml:space="preserve"> </w:t>
      </w:r>
      <w:r w:rsidR="007E0070" w:rsidRPr="00995AB3">
        <w:t>Line of Business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939"/>
        <w:gridCol w:w="2488"/>
        <w:gridCol w:w="728"/>
        <w:gridCol w:w="2904"/>
        <w:gridCol w:w="2904"/>
        <w:gridCol w:w="774"/>
        <w:gridCol w:w="648"/>
        <w:gridCol w:w="728"/>
      </w:tblGrid>
      <w:tr w:rsidR="007A6828" w:rsidRPr="007A6828" w14:paraId="2145CA45" w14:textId="77777777" w:rsidTr="007A6828">
        <w:trPr>
          <w:trHeight w:val="20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A07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Nebraska Largest Insurers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DD7C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Group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C479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Premium</w:t>
            </w:r>
            <w:r w:rsidRPr="007A68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($000)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B7D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Marketing Type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E29B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Largest Line of Business (U.S. Total)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36FD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Average</w:t>
            </w:r>
            <w:r w:rsidRPr="007A68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Growth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6A37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Rolling</w:t>
            </w:r>
            <w:r w:rsidRPr="007A68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Growth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A5D0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Q1-to-Q1 Growth</w:t>
            </w:r>
          </w:p>
        </w:tc>
      </w:tr>
      <w:tr w:rsidR="007A6828" w:rsidRPr="007A6828" w14:paraId="3909DD5B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8B44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6D25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Farmers Mutual Insurance Co of Nebraska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BFC2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...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573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$374,074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69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6D12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24EF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CAF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07B0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10%</w:t>
            </w:r>
          </w:p>
        </w:tc>
      </w:tr>
      <w:tr w:rsidR="007A6828" w:rsidRPr="007A6828" w14:paraId="5862CF57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AD8C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A442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State Farm Fire and Casualty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54DF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State Farm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F732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$323,698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FE8C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Exclusive/Captive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2258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Homeowners </w:t>
            </w: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4981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B44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8DDB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10%</w:t>
            </w:r>
          </w:p>
        </w:tc>
      </w:tr>
      <w:tr w:rsidR="007A6828" w:rsidRPr="00543F16" w14:paraId="697981FC" w14:textId="77777777" w:rsidTr="00543F16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1B93311" w14:textId="77777777" w:rsidR="007A6828" w:rsidRPr="00543F16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8E8F3B0" w14:textId="77777777" w:rsidR="007A6828" w:rsidRPr="00543F16" w:rsidRDefault="007A6828" w:rsidP="007A68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Rural Community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BD9589E" w14:textId="77777777" w:rsidR="007A6828" w:rsidRPr="00543F16" w:rsidRDefault="007A6828" w:rsidP="007A68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Zurich Insurance US PC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C296949" w14:textId="77777777" w:rsidR="007A6828" w:rsidRPr="00543F16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$302,799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BB8DEB9" w14:textId="77777777" w:rsidR="007A6828" w:rsidRPr="00543F16" w:rsidRDefault="007A6828" w:rsidP="007A68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Managing General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E454ACD" w14:textId="77777777" w:rsidR="007A6828" w:rsidRPr="00543F16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Mult</w:t>
            </w:r>
            <w:proofErr w:type="spellEnd"/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Peril Crop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3539462" w14:textId="77777777" w:rsidR="007A6828" w:rsidRPr="00543F16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152%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8703B74" w14:textId="77777777" w:rsidR="007A6828" w:rsidRPr="00543F16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4A5D8C4" w14:textId="77777777" w:rsidR="007A6828" w:rsidRPr="00543F16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G.T. +200%</w:t>
            </w:r>
          </w:p>
        </w:tc>
      </w:tr>
      <w:tr w:rsidR="007A6828" w:rsidRPr="007A6828" w14:paraId="3F3BAE6A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95E2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A2D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State Farm Mutual Automobile </w:t>
            </w:r>
            <w:proofErr w:type="gram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Ins</w:t>
            </w:r>
            <w:proofErr w:type="gram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A898D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State Farm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D1D2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$277,368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38D5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Exclusive/Captive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3186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BBF8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EE36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4A5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6%</w:t>
            </w:r>
          </w:p>
        </w:tc>
      </w:tr>
      <w:tr w:rsidR="007A6828" w:rsidRPr="007A6828" w14:paraId="7F0E93E9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F57E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CC93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NAU Country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0E928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QBE North America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A7DB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$268,296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4E02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6737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 Crop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5D35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84E2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A8A5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42%</w:t>
            </w:r>
          </w:p>
        </w:tc>
      </w:tr>
      <w:tr w:rsidR="007A6828" w:rsidRPr="007A6828" w14:paraId="1D9D18F2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46E8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1676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Farm Bureau Property &amp; Casualty </w:t>
            </w:r>
            <w:proofErr w:type="gram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Ins</w:t>
            </w:r>
            <w:proofErr w:type="gram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8812A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Farm Bureau Property &amp; Casualty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900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$230,589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5615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Exclusive/Captive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1621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DA2A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3F7E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B47F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8%</w:t>
            </w:r>
          </w:p>
        </w:tc>
      </w:tr>
      <w:tr w:rsidR="007A6828" w:rsidRPr="007A6828" w14:paraId="058B2743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C738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77DF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Progressive Northern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09F9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Progressive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6909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$194,172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2D4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A092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EDE8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DAA3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74B6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6%</w:t>
            </w:r>
          </w:p>
        </w:tc>
      </w:tr>
      <w:tr w:rsidR="007A6828" w:rsidRPr="007A6828" w14:paraId="7D8EAC1E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F135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5D1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ACE Property and Casualty Insurance 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FF9BA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Chubb INA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2665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$165,807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C8A8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B850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 Crop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A263" w14:textId="229B3CEF" w:rsidR="007A6828" w:rsidRPr="007A6828" w:rsidRDefault="00990F19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  <w:r w:rsidR="007A6828"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9B30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5794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</w:tr>
      <w:tr w:rsidR="007A6828" w:rsidRPr="00543F16" w14:paraId="245B2AFE" w14:textId="77777777" w:rsidTr="00543F16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6DF58E" w14:textId="77777777" w:rsidR="007A6828" w:rsidRPr="00543F16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6722FC3" w14:textId="77777777" w:rsidR="007A6828" w:rsidRPr="00543F16" w:rsidRDefault="007A6828" w:rsidP="007A68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American Agri-Business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59F2A40" w14:textId="77777777" w:rsidR="007A6828" w:rsidRPr="00543F16" w:rsidRDefault="007A6828" w:rsidP="007A68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Sompo Holdings US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624ADFE" w14:textId="77777777" w:rsidR="007A6828" w:rsidRPr="00543F16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$161,873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833D3D3" w14:textId="77777777" w:rsidR="007A6828" w:rsidRPr="00543F16" w:rsidRDefault="007A6828" w:rsidP="007A68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Other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752045E" w14:textId="77777777" w:rsidR="007A6828" w:rsidRPr="00543F16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Mult</w:t>
            </w:r>
            <w:proofErr w:type="spellEnd"/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Peril Crop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07E6543" w14:textId="77777777" w:rsidR="007A6828" w:rsidRPr="00543F16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BFF9063" w14:textId="77777777" w:rsidR="007A6828" w:rsidRPr="00543F16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652DFA9" w14:textId="77777777" w:rsidR="007A6828" w:rsidRPr="00543F16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46%</w:t>
            </w:r>
          </w:p>
        </w:tc>
      </w:tr>
      <w:tr w:rsidR="007A6828" w:rsidRPr="007A6828" w14:paraId="736FCB4A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0885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C3A3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American Family Mutual </w:t>
            </w:r>
            <w:proofErr w:type="gram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Ins</w:t>
            </w:r>
            <w:proofErr w:type="gram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Co, S.I.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A1E93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American Family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EFDA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$107,205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612D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Exclusive/Captive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D33E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A779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-6%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9E68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C043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-4%</w:t>
            </w:r>
          </w:p>
        </w:tc>
      </w:tr>
      <w:tr w:rsidR="007A6828" w:rsidRPr="007A6828" w14:paraId="6D2B0F30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C6E0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55EB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Nationwide Mutual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4EA59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Nationwide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00DE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$105,943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28C2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Exclusive/Captive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585F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E956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441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D8D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27%</w:t>
            </w:r>
          </w:p>
        </w:tc>
      </w:tr>
      <w:tr w:rsidR="007A6828" w:rsidRPr="007A6828" w14:paraId="052FE1AC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A3E4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3A9F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American Family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3A29B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American Family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DAAA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$96,059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9B19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Exclusive/Captive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0B23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D9F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9C9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6296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18%</w:t>
            </w:r>
          </w:p>
        </w:tc>
      </w:tr>
      <w:tr w:rsidR="007A6828" w:rsidRPr="007A6828" w14:paraId="5C2DB8D1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3A69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8716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Progressive Universal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D58FF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Progressive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E7CF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$94,767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BA61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Direct Response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EE55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1D94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836B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72BE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9%</w:t>
            </w:r>
          </w:p>
        </w:tc>
      </w:tr>
      <w:tr w:rsidR="007A6828" w:rsidRPr="007A6828" w14:paraId="27D45E58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02F0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A94B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Great American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CA8F8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Great American P &amp; C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FC5A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$80,740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BC66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544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 Crop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0519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46DB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10EE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35%</w:t>
            </w:r>
          </w:p>
        </w:tc>
      </w:tr>
      <w:tr w:rsidR="007A6828" w:rsidRPr="007A6828" w14:paraId="5FC59B3C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0E51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03AD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Farmers Mutual Hail Insurance Co of Iowa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80446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FMH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D827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$73,968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517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C66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 Crop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BE90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8C47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6446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18%</w:t>
            </w:r>
          </w:p>
        </w:tc>
      </w:tr>
      <w:tr w:rsidR="007A6828" w:rsidRPr="007A6828" w14:paraId="0554A1D4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236A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7272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Great West Casualty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B708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Old Republic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DC10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$67,137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41E8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0EE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Commercial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F786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-10%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9A15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9%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FFA2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11%</w:t>
            </w:r>
          </w:p>
        </w:tc>
      </w:tr>
      <w:tr w:rsidR="007A6828" w:rsidRPr="007A6828" w14:paraId="5A6BCEC6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E96F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042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Employers Mutual Casualty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ED6BA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EMC Insurance Companies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918E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$67,037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FBA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F3C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Commercial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CF49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1018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23C4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1%</w:t>
            </w:r>
          </w:p>
        </w:tc>
      </w:tr>
      <w:tr w:rsidR="007A6828" w:rsidRPr="007A6828" w14:paraId="1FED55EA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6116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7D0F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Allstate Fire and Casualty Insurance 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769DD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Allstate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CB6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$62,040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A29F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Exclusive/Captive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7505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10B1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21E8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F53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17%</w:t>
            </w:r>
          </w:p>
        </w:tc>
      </w:tr>
      <w:tr w:rsidR="007A6828" w:rsidRPr="007A6828" w14:paraId="3D92B020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C5C6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3FFB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Stratford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04E2F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American International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3E49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$59,799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4EDD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General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2DAF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 Crop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4B4C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-10%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6957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-17%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A6E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-61%</w:t>
            </w:r>
          </w:p>
        </w:tc>
      </w:tr>
      <w:tr w:rsidR="007A6828" w:rsidRPr="007A6828" w14:paraId="033B39E3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7E03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1061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North Star Mutual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74A87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North Star Companies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0F75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$59,444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E36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CA54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CA6A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0C71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0CEA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14%</w:t>
            </w:r>
          </w:p>
        </w:tc>
      </w:tr>
      <w:tr w:rsidR="007A6828" w:rsidRPr="007A6828" w14:paraId="2D70DE60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7AE1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D32C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Travelers Property Casualty Co of Amer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809C4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Travelers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6252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$58,003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AD84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96F8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(Occurrence)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5EDE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C05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6FB2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-3%</w:t>
            </w:r>
          </w:p>
        </w:tc>
      </w:tr>
      <w:tr w:rsidR="007A6828" w:rsidRPr="007A6828" w14:paraId="6E038D25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D321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730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Auto-Owners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1A04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Auto-Owners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76FF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$55,850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0A59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DFE2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Homeowners </w:t>
            </w: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BFD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BF6A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B91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11%</w:t>
            </w:r>
          </w:p>
        </w:tc>
      </w:tr>
      <w:tr w:rsidR="007A6828" w:rsidRPr="007A6828" w14:paraId="3037B329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AB9F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AAE2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United Services Automobile Association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67BD0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USAA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C0FE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$53,818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8F71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Direct Response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9A3F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4592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ADFB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C03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2%</w:t>
            </w:r>
          </w:p>
        </w:tc>
      </w:tr>
      <w:tr w:rsidR="007A6828" w:rsidRPr="007A6828" w14:paraId="2CE65FFC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FE17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9C29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Western Agricultural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3A8A2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Farm Bureau Property &amp; Casualty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4397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$52,784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D18B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Exclusive/Captive Agent, Managing General Agent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AB98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 Crop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C7DB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C3AD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7049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15%</w:t>
            </w:r>
          </w:p>
        </w:tc>
      </w:tr>
      <w:tr w:rsidR="007A6828" w:rsidRPr="007A6828" w14:paraId="46244518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1A9E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F199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Owners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B3805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Auto-Owners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15ED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$52,048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CD1C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4DC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E3A8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880F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9419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11%</w:t>
            </w:r>
          </w:p>
        </w:tc>
      </w:tr>
      <w:tr w:rsidR="007A6828" w:rsidRPr="007A6828" w14:paraId="25C95FF9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8487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34F1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Shelter Mutual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3CBC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Shelter Insurance Companies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77E5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$46,000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9922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Exclusive/Captive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7A75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A75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8DF0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6%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E517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8%</w:t>
            </w:r>
          </w:p>
        </w:tc>
      </w:tr>
      <w:tr w:rsidR="007A6828" w:rsidRPr="007A6828" w14:paraId="30412EBF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AB46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71C6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GEICO Advantage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8E7F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Berkshire Hathaway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889C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$44,894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A6DB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Direct Response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5C2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DA63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EBFF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5BEC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5%</w:t>
            </w:r>
          </w:p>
        </w:tc>
      </w:tr>
      <w:tr w:rsidR="007A6828" w:rsidRPr="007A6828" w14:paraId="6B516539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3033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F40F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Zurich American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3D3F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Zurich Insurance US PC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8A84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$44,836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E296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7F6A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Commercial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E711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3DAF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397E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49%</w:t>
            </w:r>
          </w:p>
        </w:tc>
      </w:tr>
      <w:tr w:rsidR="007A6828" w:rsidRPr="007A6828" w14:paraId="34B0C519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1C5E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01E9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Battle Creek Mutual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C3796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Nodak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5D92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$44,301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68FA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2ED6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Homeowners </w:t>
            </w: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B6DD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6%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FE12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6%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E4CF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10%</w:t>
            </w:r>
          </w:p>
        </w:tc>
      </w:tr>
      <w:tr w:rsidR="007A6828" w:rsidRPr="007A6828" w14:paraId="24755C44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922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3160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Federal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60BD1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Chubb INA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FF88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$43,466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DD7F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29DA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(Claims-made)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6C70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8CE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AF71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24%</w:t>
            </w:r>
          </w:p>
        </w:tc>
      </w:tr>
      <w:tr w:rsidR="007A6828" w:rsidRPr="00543F16" w14:paraId="74A96E24" w14:textId="77777777" w:rsidTr="00543F16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5616ADA" w14:textId="77777777" w:rsidR="007A6828" w:rsidRPr="00543F16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54D1858" w14:textId="77777777" w:rsidR="007A6828" w:rsidRPr="00543F16" w:rsidRDefault="007A6828" w:rsidP="007A68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Nationwide Insurance Company of America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9ABB811" w14:textId="77777777" w:rsidR="007A6828" w:rsidRPr="00543F16" w:rsidRDefault="007A6828" w:rsidP="007A68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Nationwide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BC144B0" w14:textId="77777777" w:rsidR="007A6828" w:rsidRPr="00543F16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$43,156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074C59E" w14:textId="77777777" w:rsidR="007A6828" w:rsidRPr="00543F16" w:rsidRDefault="007A6828" w:rsidP="007A68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ACE0248" w14:textId="77777777" w:rsidR="007A6828" w:rsidRPr="00543F16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C3A73B9" w14:textId="77777777" w:rsidR="007A6828" w:rsidRPr="00543F16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53%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9766BE0" w14:textId="77777777" w:rsidR="007A6828" w:rsidRPr="00543F16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F157153" w14:textId="77777777" w:rsidR="007A6828" w:rsidRPr="00543F16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-9%</w:t>
            </w:r>
          </w:p>
        </w:tc>
      </w:tr>
      <w:tr w:rsidR="007A6828" w:rsidRPr="007A6828" w14:paraId="54622AED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7FC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3097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Allstate Vehicle and Property </w:t>
            </w:r>
            <w:proofErr w:type="gram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Ins</w:t>
            </w:r>
            <w:proofErr w:type="gram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C0D15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Allstate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E521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$41,347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D843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1CD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Homeowners </w:t>
            </w: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B8AF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E8CB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7B4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19%</w:t>
            </w:r>
          </w:p>
        </w:tc>
      </w:tr>
      <w:tr w:rsidR="007A6828" w:rsidRPr="007A6828" w14:paraId="52374B63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AD93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B453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Liberty Insurance Underwriters, Inc.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2986A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Liberty Mutual Insurance Companies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E031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$40,302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8ECA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Exclusive/Captive Agent, Direct </w:t>
            </w: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Response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D72B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Inland Marine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42CB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C19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991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11%</w:t>
            </w:r>
          </w:p>
        </w:tc>
      </w:tr>
      <w:tr w:rsidR="007A6828" w:rsidRPr="007A6828" w14:paraId="6D1D467F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FB65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10C7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Nationwide Agribusiness Insurance 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0A03F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Nationwide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77AF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$39,774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CDF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Direct Response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3A14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Farmowners </w:t>
            </w: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B42E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-13%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3B47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-6%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E237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-10%</w:t>
            </w:r>
          </w:p>
        </w:tc>
      </w:tr>
      <w:tr w:rsidR="007A6828" w:rsidRPr="007A6828" w14:paraId="7AACD142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7345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DEBB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AXIS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D7C68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AXIS US Operations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7EC4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$38,026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0F01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Broker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5F20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(Claims-made)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0638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-18%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8A02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-35%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2546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-39%</w:t>
            </w:r>
          </w:p>
        </w:tc>
      </w:tr>
      <w:tr w:rsidR="007A6828" w:rsidRPr="007A6828" w14:paraId="7FAAC2AB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138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5F15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AMCO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D6506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Nationwide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5A17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$37,486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060F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842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Commercial Multiple Peril (Total)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7ABA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-10%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07BD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B328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8%</w:t>
            </w:r>
          </w:p>
        </w:tc>
      </w:tr>
      <w:tr w:rsidR="007A6828" w:rsidRPr="007A6828" w14:paraId="30191528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22B7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A56A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Cincinnati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9B2AA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The Cincinnati Insurance Companies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17D3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$36,332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B11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449C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Commercial Multiple Peril (Total)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C872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AAF6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6845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18%</w:t>
            </w:r>
          </w:p>
        </w:tc>
      </w:tr>
      <w:tr w:rsidR="007A6828" w:rsidRPr="007A6828" w14:paraId="2E1C4DB7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5D32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33D0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Farmers Insurance Exchange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97493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Farmers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0638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$35,893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4B83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Exclusive/Captive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D122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D899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37DB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90F8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13%</w:t>
            </w:r>
          </w:p>
        </w:tc>
      </w:tr>
      <w:tr w:rsidR="007A6828" w:rsidRPr="007A6828" w14:paraId="1E447983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343C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199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USAA Casualty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C9671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USAA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2A44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$32,379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5BE8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Direct Response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87A8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099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7%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8BE3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2FD2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1%</w:t>
            </w:r>
          </w:p>
        </w:tc>
      </w:tr>
      <w:tr w:rsidR="007A6828" w:rsidRPr="007A6828" w14:paraId="1FB17685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18F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B2EA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Mid-Century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39E4A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Farmers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4A36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$31,528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BE7A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Exclusive/Captive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2564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35B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-2%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0C1D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74E6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-1%</w:t>
            </w:r>
          </w:p>
        </w:tc>
      </w:tr>
      <w:tr w:rsidR="007A6828" w:rsidRPr="007A6828" w14:paraId="2988D2E8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9EE2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4ABF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Standard Fire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6AF6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Travelers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3696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$30,860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DC74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1E50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CA8B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421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9%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9137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</w:tr>
      <w:tr w:rsidR="007A6828" w:rsidRPr="007A6828" w14:paraId="0C5B8FC2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E5A7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333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USAA General Indemnity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09D2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USAA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B0FB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$30,781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520C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Direct Response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4710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0D34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35F2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548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0%</w:t>
            </w:r>
          </w:p>
        </w:tc>
      </w:tr>
      <w:tr w:rsidR="007A6828" w:rsidRPr="007A6828" w14:paraId="31934E30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C96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586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Travelers Personal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447C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Travelers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8D7E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$30,681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E4BA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820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Homeowners </w:t>
            </w:r>
            <w:proofErr w:type="spell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D453" w14:textId="5DCC3073" w:rsidR="007A6828" w:rsidRPr="007A6828" w:rsidRDefault="00990F19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  <w:r w:rsidR="007A6828"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3FAF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D3A5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28%</w:t>
            </w:r>
          </w:p>
        </w:tc>
      </w:tr>
      <w:tr w:rsidR="007A6828" w:rsidRPr="007A6828" w14:paraId="0B51D146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5AD4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7D96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Nationwide Property &amp; Casualty </w:t>
            </w:r>
            <w:proofErr w:type="gramStart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Ins</w:t>
            </w:r>
            <w:proofErr w:type="gramEnd"/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6C605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Nationwide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A88D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$29,820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F114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Exclusive/Captive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6D87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7EAE" w14:textId="7D6B90B4" w:rsidR="007A6828" w:rsidRPr="007A6828" w:rsidRDefault="00990F19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  <w:r w:rsidR="007A6828"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9A40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9%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5634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-7%</w:t>
            </w:r>
          </w:p>
        </w:tc>
      </w:tr>
      <w:tr w:rsidR="007A6828" w:rsidRPr="007A6828" w14:paraId="59BCC82E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2FBD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02D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Acuity, A Mutual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4C202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...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A165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$29,249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AED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3886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Commercial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18AB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FD22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6%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F737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3%</w:t>
            </w:r>
          </w:p>
        </w:tc>
      </w:tr>
      <w:tr w:rsidR="007A6828" w:rsidRPr="007A6828" w14:paraId="69913A8E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6653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6148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Factory Mutual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2ECE8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FM Global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3E6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$26,404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FC73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Direct Response, Broker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7C9A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Allied Lines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FBF4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-7%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C1F0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0F85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-4%</w:t>
            </w:r>
          </w:p>
        </w:tc>
      </w:tr>
      <w:tr w:rsidR="007A6828" w:rsidRPr="007A6828" w14:paraId="02839E12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403E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827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Continental Casualty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021C2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CNA Insurance Companies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F767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$26,375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01C8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4DEB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Inland Marine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F84D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-3%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8A34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-9%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937B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-13%</w:t>
            </w:r>
          </w:p>
        </w:tc>
      </w:tr>
      <w:tr w:rsidR="007A6828" w:rsidRPr="00543F16" w14:paraId="3C790DB6" w14:textId="77777777" w:rsidTr="00543F16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E53CE7E" w14:textId="77777777" w:rsidR="007A6828" w:rsidRPr="00543F16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02562DC" w14:textId="77777777" w:rsidR="007A6828" w:rsidRPr="00543F16" w:rsidRDefault="007A6828" w:rsidP="007A68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Producers Agriculture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54E6D68" w14:textId="77777777" w:rsidR="007A6828" w:rsidRPr="00543F16" w:rsidRDefault="007A6828" w:rsidP="007A68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Tokio</w:t>
            </w:r>
            <w:proofErr w:type="spellEnd"/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Marine US PC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CC826AA" w14:textId="77777777" w:rsidR="007A6828" w:rsidRPr="00543F16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$26,163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5803994" w14:textId="77777777" w:rsidR="007A6828" w:rsidRPr="00543F16" w:rsidRDefault="007A6828" w:rsidP="007A68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Broker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32D92DF" w14:textId="77777777" w:rsidR="007A6828" w:rsidRPr="00543F16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Mult</w:t>
            </w:r>
            <w:proofErr w:type="spellEnd"/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Peril Crop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6684004" w14:textId="77777777" w:rsidR="007A6828" w:rsidRPr="00543F16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86CAC7A" w14:textId="77777777" w:rsidR="007A6828" w:rsidRPr="00543F16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C2181B0" w14:textId="77777777" w:rsidR="007A6828" w:rsidRPr="00543F16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43F1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G.T. +200%</w:t>
            </w:r>
          </w:p>
        </w:tc>
      </w:tr>
      <w:tr w:rsidR="007A6828" w:rsidRPr="007A6828" w14:paraId="6328C47A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D19E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4D59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GEICO Choice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93CF4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Berkshire Hathaway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2C96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$25,410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6F6E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Direct Response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8908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C8FA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0D32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D9B4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0%</w:t>
            </w:r>
          </w:p>
        </w:tc>
      </w:tr>
      <w:tr w:rsidR="007A6828" w:rsidRPr="007A6828" w14:paraId="713EFFC1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05A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22FA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ACE American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9B932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Chubb INA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8DFA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$24,107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8F5A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603E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Commercial Multiple Peril (Total)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768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830E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747E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58%</w:t>
            </w:r>
          </w:p>
        </w:tc>
      </w:tr>
      <w:tr w:rsidR="007A6828" w:rsidRPr="007A6828" w14:paraId="475016AA" w14:textId="77777777" w:rsidTr="007A6828">
        <w:trPr>
          <w:trHeight w:val="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843B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7B50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Top 50 Total Premium or Average Growth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8886" w14:textId="77777777" w:rsidR="007A6828" w:rsidRPr="007A6828" w:rsidRDefault="007A6828" w:rsidP="007A6828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5C10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$4,324,888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B46C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4835" w14:textId="77777777" w:rsidR="007A6828" w:rsidRPr="007A6828" w:rsidRDefault="007A6828" w:rsidP="007A68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0335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B596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1135" w14:textId="77777777" w:rsidR="007A6828" w:rsidRPr="007A6828" w:rsidRDefault="007A6828" w:rsidP="007A682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6828">
              <w:rPr>
                <w:rFonts w:ascii="Calibri" w:hAnsi="Calibri" w:cs="Calibri"/>
                <w:color w:val="000000"/>
                <w:sz w:val="14"/>
                <w:szCs w:val="14"/>
              </w:rPr>
              <w:t>11%</w:t>
            </w:r>
          </w:p>
        </w:tc>
      </w:tr>
    </w:tbl>
    <w:p w14:paraId="6938928C" w14:textId="66824DB3" w:rsidR="00D16F93" w:rsidRPr="00995AB3" w:rsidRDefault="007A6828" w:rsidP="00D16F93">
      <w:pPr>
        <w:rPr>
          <w:sz w:val="20"/>
          <w:szCs w:val="20"/>
        </w:rPr>
      </w:pPr>
      <w:r w:rsidRPr="00995AB3">
        <w:rPr>
          <w:sz w:val="20"/>
          <w:szCs w:val="20"/>
        </w:rPr>
        <w:t xml:space="preserve"> </w:t>
      </w:r>
      <w:r w:rsidR="00CE200B" w:rsidRPr="00995AB3">
        <w:rPr>
          <w:sz w:val="20"/>
          <w:szCs w:val="20"/>
        </w:rPr>
        <w:t xml:space="preserve">Table 16 | </w:t>
      </w:r>
      <w:r w:rsidR="00D16F93" w:rsidRPr="00995AB3">
        <w:rPr>
          <w:sz w:val="20"/>
          <w:szCs w:val="20"/>
        </w:rPr>
        <w:t>Source: © A.M. Best Company — used by permission | “*” indicates a zero ($0) or negative quarterly premium figure in one or more quarters</w:t>
      </w:r>
    </w:p>
    <w:p w14:paraId="4E207AED" w14:textId="3D9D7F05" w:rsidR="00091534" w:rsidRPr="008B7E26" w:rsidRDefault="00006B17" w:rsidP="00995AB3">
      <w:pPr>
        <w:pStyle w:val="Heading2-Landscape"/>
        <w:spacing w:line="240" w:lineRule="auto"/>
      </w:pPr>
      <w:r>
        <w:lastRenderedPageBreak/>
        <w:t>Nebraska</w:t>
      </w:r>
      <w:r w:rsidR="00091534" w:rsidRPr="008B7E26">
        <w:t>: Top 50 Fastest Growing Insurers-Growth, Premiums</w:t>
      </w:r>
      <w:r w:rsidR="00691EEB" w:rsidRPr="008B7E26">
        <w:t xml:space="preserve">, </w:t>
      </w:r>
      <w:r w:rsidR="00091534" w:rsidRPr="008B7E26">
        <w:t>Marketing Type</w:t>
      </w:r>
      <w:r w:rsidR="00010E49" w:rsidRPr="008B7E26">
        <w:t>,</w:t>
      </w:r>
      <w:r w:rsidR="00691EEB" w:rsidRPr="008B7E26">
        <w:t xml:space="preserve"> and Biggest </w:t>
      </w:r>
      <w:r w:rsidR="007E0070" w:rsidRPr="008B7E26">
        <w:t>Line of Business</w:t>
      </w: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2952"/>
        <w:gridCol w:w="2486"/>
        <w:gridCol w:w="727"/>
        <w:gridCol w:w="2903"/>
        <w:gridCol w:w="2904"/>
        <w:gridCol w:w="774"/>
        <w:gridCol w:w="652"/>
        <w:gridCol w:w="728"/>
      </w:tblGrid>
      <w:tr w:rsidR="00990F19" w:rsidRPr="00990F19" w14:paraId="0D1C5261" w14:textId="77777777" w:rsidTr="00990F19">
        <w:trPr>
          <w:trHeight w:val="20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8761BE7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Nebraska Fastest Growing Insurers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91E5F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Group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AEF7DA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Premium</w:t>
            </w:r>
            <w:r w:rsidRPr="00990F1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($000)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76220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Marketing Type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C5040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Largest Line of Business (U.S. Total)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0F6CEE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Average</w:t>
            </w:r>
            <w:r w:rsidRPr="00990F1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Growth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D2E3D1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Rolling</w:t>
            </w:r>
            <w:r w:rsidRPr="00990F1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Growth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7A9E6B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Q1-to-Q1 Growth</w:t>
            </w:r>
          </w:p>
        </w:tc>
      </w:tr>
      <w:tr w:rsidR="00990F19" w:rsidRPr="00990F19" w14:paraId="1D31B948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10F1C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D5DAB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Century Surety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FF415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AmeriTrust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96BE3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$1,103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CA46D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General Agent, Broker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CD5F2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(Occurrence)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8716A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168%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3DACF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DEEE0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3%</w:t>
            </w:r>
          </w:p>
        </w:tc>
      </w:tr>
      <w:tr w:rsidR="00990F19" w:rsidRPr="00990F19" w14:paraId="1A9F8F20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DB196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28456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Rural Community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8B9D9A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Zurich Insurance US PC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9E5ED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$302,799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68BCA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Managing General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0DA44B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 Crop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497E7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152%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45DC6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E3B23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</w:tr>
      <w:tr w:rsidR="00990F19" w:rsidRPr="00990F19" w14:paraId="3C86C592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27731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39852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Clear Spring Property &amp; Casualty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577601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Group 1001 Property and Casualty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6D3B7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$744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4D4AB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Broker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F7F01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8563A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126%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0DB7E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150%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14451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79%</w:t>
            </w:r>
          </w:p>
        </w:tc>
      </w:tr>
      <w:tr w:rsidR="00990F19" w:rsidRPr="00990F19" w14:paraId="65E0C464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64C55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B07A3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Clear Blue Specialty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20B8E2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Clear Blue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16036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$2,289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4D49B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Managing General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D01BF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(Occurrence)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8C225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121%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CE367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CB7B7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</w:tr>
      <w:tr w:rsidR="00990F19" w:rsidRPr="00990F19" w14:paraId="4161C64F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DB1328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AD5C6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Allied World National Assurance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67EAAB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Fairfax Financial (USA)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25E83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$1,247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0B0DD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Broker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DEFFE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(Occurrence)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CB7B7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118%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B0DC85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-29%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8A9AB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-1%</w:t>
            </w:r>
          </w:p>
        </w:tc>
      </w:tr>
      <w:tr w:rsidR="00990F19" w:rsidRPr="00990F19" w14:paraId="6F7DDCB6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19F96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423FE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American Economy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F5B3B2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Liberty Mutual Insurance Companies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B8722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$6,234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C0A87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CBB74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Homeowners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025E2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114%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A39A7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27A62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</w:tr>
      <w:tr w:rsidR="00990F19" w:rsidRPr="00990F19" w14:paraId="536F3DF5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92D86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A44DD1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Integon National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4A002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Allstate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3A41D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EBDA3B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1FE047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BCB46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106%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22135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0D3EF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169%</w:t>
            </w:r>
          </w:p>
        </w:tc>
      </w:tr>
      <w:tr w:rsidR="00990F19" w:rsidRPr="00990F19" w14:paraId="4CA4CD62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A8BA71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5641A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Professional Solutions Ins 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DE3EBE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NCMIC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9DE42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$281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05EA6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Broker, General Agent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EBC386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(Claims-made)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B8AE85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106%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BEFB1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175%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74F2B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</w:tr>
      <w:tr w:rsidR="00990F19" w:rsidRPr="00990F19" w14:paraId="0D88F037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7FB3F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E8723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American National Lloyds Insurance 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332F19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American National Prop &amp; Cas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27C58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$1,951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90088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Exclusive/Captive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61C9A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Commercial Multiple Peril (Total)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40674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104%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8670F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678E6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9%</w:t>
            </w:r>
          </w:p>
        </w:tc>
      </w:tr>
      <w:tr w:rsidR="00990F19" w:rsidRPr="00990F19" w14:paraId="1F7BAF78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42D98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060239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Spinnaker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903506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Spinnaker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F0BBB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$1,776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1FBFE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Managing General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D313D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Homeowners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6D5A4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103%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7EBE4E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178%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7AC59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115%</w:t>
            </w:r>
          </w:p>
        </w:tc>
      </w:tr>
      <w:tr w:rsidR="00990F19" w:rsidRPr="00990F19" w14:paraId="264BF819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75FF7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96A9D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Occidental Fire and Casualty Co of NC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7BC162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IAT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696DA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$252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6299F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General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79F7D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Homeowners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E5973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101%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A5EDA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81%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5B55F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L.T. -100%</w:t>
            </w:r>
          </w:p>
        </w:tc>
      </w:tr>
      <w:tr w:rsidR="00990F19" w:rsidRPr="00990F19" w14:paraId="2D3FFC70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990DA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6D6C3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American Southern Home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59A8F8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Munich-American Holding Corp Companies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3F96D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$121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4A17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23388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Commercial Multiple Peril (Total)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FCD30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95%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F69AD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5F75F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</w:tr>
      <w:tr w:rsidR="00990F19" w:rsidRPr="00990F19" w14:paraId="6F38ABB1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41129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2F56A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Lyndon Southern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1D9ABB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Fortegra P&amp;C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5CCC0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$1,445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CD344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51B8BC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Inland Marine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8E6D3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94%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C2776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2A88A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-4%</w:t>
            </w:r>
          </w:p>
        </w:tc>
      </w:tr>
      <w:tr w:rsidR="00990F19" w:rsidRPr="00990F19" w14:paraId="199E042A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FA547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477ED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Midvale Indemnity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497E9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American Family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92E63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$3,426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537CD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A70EB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Commercial Multiple Peril (Total)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A98C0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2CC20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DC150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56%</w:t>
            </w:r>
          </w:p>
        </w:tc>
      </w:tr>
      <w:tr w:rsidR="00990F19" w:rsidRPr="00990F19" w14:paraId="799F0BEA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27A86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35A86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  <w:lang w:val="es-ES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  <w:lang w:val="es-ES"/>
              </w:rPr>
              <w:t xml:space="preserve">Mitsui Sumitomo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  <w:lang w:val="es-ES"/>
              </w:rPr>
              <w:t>Insurance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  <w:lang w:val="es-ES"/>
              </w:rPr>
              <w:t xml:space="preserve"> USA Inc.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E4731C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MS&amp;AD US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0EE5C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$291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51C8E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Broker, Independent Agency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56B53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Commercial Multiple Peril (Total)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30CAB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91%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9DAD5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CE7A2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37%</w:t>
            </w:r>
          </w:p>
        </w:tc>
      </w:tr>
      <w:tr w:rsidR="00990F19" w:rsidRPr="00990F19" w14:paraId="43DE4997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8F695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8A598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Century-National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358E89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Allstate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A0133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$83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FCDCDE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1F43B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Homeowners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3757F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87%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F4F7E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6%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9841D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-39%</w:t>
            </w:r>
          </w:p>
        </w:tc>
      </w:tr>
      <w:tr w:rsidR="00990F19" w:rsidRPr="00990F19" w14:paraId="0495C778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A05D7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ED6BC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Travelers Excess and Surplus Lines 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00A4AA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Travelers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9FAB5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$6,989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3A947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Broker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1D31E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(Claims-made)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D2D4B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F78C8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93EA9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</w:tr>
      <w:tr w:rsidR="00990F19" w:rsidRPr="00990F19" w14:paraId="4ED9D50A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1F3A1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C2156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Universal Underwriters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579C69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Zurich Insurance US PC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84804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$1,806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F97C4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Direct Response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E43FF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(Occurrence)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368F9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F0267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C237B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2%</w:t>
            </w:r>
          </w:p>
        </w:tc>
      </w:tr>
      <w:tr w:rsidR="00990F19" w:rsidRPr="00990F19" w14:paraId="3EB59235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EB2AF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99314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Lancer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7C464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Core Specialty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FD2E0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$248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9BC1B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Broker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244C0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 Commercial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47E00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81%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29068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77%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AA76C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36%</w:t>
            </w:r>
          </w:p>
        </w:tc>
      </w:tr>
      <w:tr w:rsidR="00990F19" w:rsidRPr="00990F19" w14:paraId="13CE5419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6C907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B0036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Motorists Commercial Mutual Insurance 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53FC53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Encova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Mutual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3B46D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$20,781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D7CE3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CD3CA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Commercial Multiple Peril (Total)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F5BAE9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03DE9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3CF23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9%</w:t>
            </w:r>
          </w:p>
        </w:tc>
      </w:tr>
      <w:tr w:rsidR="00990F19" w:rsidRPr="00990F19" w14:paraId="674A21DB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D0983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2DCE6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United National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415C9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Global Indemnity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8E7A3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$1,274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B449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General Agent, Managing General Agent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214D0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(Occurrence)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55ADD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B87F6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B9A46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187%</w:t>
            </w:r>
          </w:p>
        </w:tc>
      </w:tr>
      <w:tr w:rsidR="00990F19" w:rsidRPr="00990F19" w14:paraId="061EF5E9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1B1C4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0D729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Citizens Insurance Company of America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F0C74B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Hanover Ins Group Prop &amp; Cas Cos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A5EEF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$223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8FD19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26EBD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Commercial Multiple Peril (Total)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F2D84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77%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1E729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156%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FDF14E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</w:tr>
      <w:tr w:rsidR="00990F19" w:rsidRPr="00990F19" w14:paraId="6404D10D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CA471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D67C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Austin Mutual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11D9E3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American Family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0A898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$13,959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09281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13D0D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 Commercial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FDB8F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74%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6F3DD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622E0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96%</w:t>
            </w:r>
          </w:p>
        </w:tc>
      </w:tr>
      <w:tr w:rsidR="00990F19" w:rsidRPr="00990F19" w14:paraId="0524525F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4CC38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AB5AC9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Intrepid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C68DB6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W. R. Berkley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75DE7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$1,149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1A3824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Direct Response, Independent Agency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89306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Commercial Multiple Peril (Total)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D0DC5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60813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101%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07BA6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170%</w:t>
            </w:r>
          </w:p>
        </w:tc>
      </w:tr>
      <w:tr w:rsidR="00990F19" w:rsidRPr="00990F19" w14:paraId="5C5ED84B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8A96D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08AD29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NORCAL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E7F3AE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ProAssurance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C48BB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$81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F04B3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Independent Agency, Broker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42DE8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Medical Professional Liability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1DFD1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43A27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A7D337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18%</w:t>
            </w:r>
          </w:p>
        </w:tc>
      </w:tr>
      <w:tr w:rsidR="00990F19" w:rsidRPr="00990F19" w14:paraId="29831B0F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CA3FE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C0C95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Mitsui Sumitomo Insurance Co of America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8B8AA5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MS&amp;AD US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29F99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$725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1B19C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Broker, Independent Agency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77F45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Allied Lines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A4C7C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529C2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FC2DB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L.T. -100%</w:t>
            </w:r>
          </w:p>
        </w:tc>
      </w:tr>
      <w:tr w:rsidR="00990F19" w:rsidRPr="00990F19" w14:paraId="2535BBCF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B1DD93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E230D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GuideOne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Specialty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E36A9C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GuideOne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Insurance Companies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DC80D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$206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06B6B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5D9C4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Commercial Multiple Peril (Total)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FEB47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1C9AC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186%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2C53E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9%</w:t>
            </w:r>
          </w:p>
        </w:tc>
      </w:tr>
      <w:tr w:rsidR="00990F19" w:rsidRPr="00990F19" w14:paraId="38B01E6B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2B756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02E7D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Endurance Assurance Corporation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345FDA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Sompo Holdings US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E245B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$1,489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5A221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Not Available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9BB7C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(Occurrence)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A4250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AECEBB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DA357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</w:tr>
      <w:tr w:rsidR="00990F19" w:rsidRPr="00990F19" w14:paraId="1549C6EC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8BB23B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16697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Gemini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096A92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W. R. Berkley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A5A53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$11,550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780297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Managing General Agent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80590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(Occurrence)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A53AE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92968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6438A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52%</w:t>
            </w:r>
          </w:p>
        </w:tc>
      </w:tr>
      <w:tr w:rsidR="00990F19" w:rsidRPr="00990F19" w14:paraId="720B7EFE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111A4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EAC7B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Berkshire Hathaway Direct Insurance 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5B8D6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Berkshire Hathaway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B798A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$1,279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2588E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Independent Agency, Direct Response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C2CFB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Commercial Multiple Peril (Total)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67A84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66%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6F1EB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BA7A7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19%</w:t>
            </w:r>
          </w:p>
        </w:tc>
      </w:tr>
      <w:tr w:rsidR="00990F19" w:rsidRPr="00990F19" w14:paraId="43026F1A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3C17F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2FC48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Benchmark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C51327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Benchmark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C6D19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$1,750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23F3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Managing General Agent, Direct Response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EDC84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 Commercial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EAA1E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66%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1059B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0FACE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</w:tr>
      <w:tr w:rsidR="00990F19" w:rsidRPr="00990F19" w14:paraId="6A387088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D101C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FEFF2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Starr Surplus Lines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74CE5C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Starr International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D8926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$7,701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33598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BEA4D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Fire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85CE5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09D9F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BD432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-16%</w:t>
            </w:r>
          </w:p>
        </w:tc>
      </w:tr>
      <w:tr w:rsidR="00990F19" w:rsidRPr="00990F19" w14:paraId="39A61DE0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2009A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DDCB4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General Insurance Company of America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A8A72D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Liberty Mutual Insurance Companies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2559F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$622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B7A4B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F7EAB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Homeowners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B1D6A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46DA8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FB381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24%</w:t>
            </w:r>
          </w:p>
        </w:tc>
      </w:tr>
      <w:tr w:rsidR="00990F19" w:rsidRPr="00990F19" w14:paraId="6C46E09E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4F530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F11F8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Crestbrook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F147A2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Nationwide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60B4F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$17,185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CC07A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Direct Response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0B594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Homeowners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2BD84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D471F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74%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E45C2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-25%</w:t>
            </w:r>
          </w:p>
        </w:tc>
      </w:tr>
      <w:tr w:rsidR="00990F19" w:rsidRPr="00990F19" w14:paraId="232DE752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3EFA0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CD26C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Berkley Casualty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115879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W. R. Berkley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7BC844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$235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E95EC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A4191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 Commercial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258C7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4A2F0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B8018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</w:tr>
      <w:tr w:rsidR="00990F19" w:rsidRPr="00990F19" w14:paraId="30D7ADC6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FFD05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A868E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Accredited Surety and Casualty Co, Inc.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B8B1FB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Randall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90AD17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$101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D536C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6510B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(Occurrence)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FE1C0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4328E" w14:textId="725CA34E" w:rsidR="00990F19" w:rsidRPr="00990F19" w:rsidRDefault="00543F16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  <w:r w:rsidR="00990F19"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44714" w14:textId="68B6F19A" w:rsidR="00990F19" w:rsidRPr="00990F19" w:rsidRDefault="00543F16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**</w:t>
            </w:r>
            <w:r w:rsidR="00990F19"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90F19" w:rsidRPr="00990F19" w14:paraId="573E17C3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240CC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CB0F7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Diamond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4DF248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...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4AC6B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$46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74CE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D1C91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gram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Aircraft(</w:t>
            </w:r>
            <w:proofErr w:type="gram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 perils)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DD5CC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FB4E6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-42%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BA177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90F19" w:rsidRPr="00990F19" w14:paraId="324D3BA2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28343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258A3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Imperium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DF410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Skyward Specialty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D8A66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$647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32606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General Agent, Managing General Agent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68C26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 Commercial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B4AB9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E6888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D14A1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21%</w:t>
            </w:r>
          </w:p>
        </w:tc>
      </w:tr>
      <w:tr w:rsidR="00990F19" w:rsidRPr="00990F19" w14:paraId="4E05595A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572D8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39CC2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Producers Agriculture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E1CBF2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Tokio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Marine US PC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9B3FE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$26,163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AF024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Broker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B6FE4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 Crop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05D5C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A82F6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F10D4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</w:tr>
      <w:tr w:rsidR="00990F19" w:rsidRPr="00990F19" w14:paraId="6CA39B0D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19E59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48F33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Metropolitan General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D693B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...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C79A9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$135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44779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Independent Agency, Career Agent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6C932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14DA4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C7B8C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C8413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</w:tr>
      <w:tr w:rsidR="00990F19" w:rsidRPr="00990F19" w14:paraId="57CCC5BA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02CDE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63742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Nationwide Insurance Company of America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C2CD6C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Nationwide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F7809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$43,156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CB5E8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B4772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 Private Passenger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0B9CD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B4E20F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14B90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-9%</w:t>
            </w:r>
          </w:p>
        </w:tc>
      </w:tr>
      <w:tr w:rsidR="00990F19" w:rsidRPr="00990F19" w14:paraId="11E45F00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A586B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EF7A3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Mid-Continent Assurance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5ED7DF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Great American P &amp; C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8C4D92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$28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89F6C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8D3B7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 Commercial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EF962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1FFA3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904A8" w14:textId="4D5F97C8" w:rsidR="00990F19" w:rsidRPr="00990F19" w:rsidRDefault="00543F16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  <w:r w:rsidR="00990F19"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90F19" w:rsidRPr="00990F19" w14:paraId="4ED62152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D3ECD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EE0A4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Crum &amp; Forster Specialty Insurance 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FCC6D4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Fairfax Financial (USA)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46A62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$3,608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23AB9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Broker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38E45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(Occurrence)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5B659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14089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59731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100%</w:t>
            </w:r>
          </w:p>
        </w:tc>
      </w:tr>
      <w:tr w:rsidR="00990F19" w:rsidRPr="00990F19" w14:paraId="612A1BCC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91D8F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FB776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North River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AE12C4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Fairfax Financial (USA)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2CE6F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$2,243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63B02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2AEE4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(Occurrence)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C41A2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ED7C5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853F7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124%</w:t>
            </w:r>
          </w:p>
        </w:tc>
      </w:tr>
      <w:tr w:rsidR="00990F19" w:rsidRPr="00990F19" w14:paraId="5245C3FE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93EB2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7077B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American Agri-Business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96EB34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Sompo Holdings US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9E48F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$161,873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22469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4B7755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 Crop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DD1A4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071A4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4A475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46%</w:t>
            </w:r>
          </w:p>
        </w:tc>
      </w:tr>
      <w:tr w:rsidR="00990F19" w:rsidRPr="00990F19" w14:paraId="49A418AC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CB68C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3F972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The Hanover American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35431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Hanover Ins Group Prop &amp; Cas Cos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5A7C94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$130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A0359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F2F0C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Commercial Multiple Peril (Total)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C9E4C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1B9A1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B1E3F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</w:tr>
      <w:tr w:rsidR="00990F19" w:rsidRPr="00990F19" w14:paraId="168FA40C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36AC2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35A03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AmTrust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10EE25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AmTrust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CDF1A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$545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7C43C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Independent Agency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FF8D3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All Commercial Auto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9BE5A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83460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-35%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E0AC3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-86%</w:t>
            </w:r>
          </w:p>
        </w:tc>
      </w:tr>
      <w:tr w:rsidR="00990F19" w:rsidRPr="00990F19" w14:paraId="22711AF0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52598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00BC4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AIX Specialty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6025FC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Hanover Ins Group Prop &amp; Cas Cos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E0ED6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$988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BFCDB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Independent Agency, Managing General Agent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06AF2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(Occurrence)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3BCD4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CFCEAF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166%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8D5DB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G.T. +200%</w:t>
            </w:r>
          </w:p>
        </w:tc>
      </w:tr>
      <w:tr w:rsidR="00990F19" w:rsidRPr="00990F19" w14:paraId="4A91B5CF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31DA3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4D5C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Aegis Security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F8F0EE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LD Investments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FAD8F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$175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20B48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Independent Agency, General Agent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A7BC2B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Homeowners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Mult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Peril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EAB6ED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8A53A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-8%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750C0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-71%</w:t>
            </w:r>
          </w:p>
        </w:tc>
      </w:tr>
      <w:tr w:rsidR="00990F19" w:rsidRPr="00990F19" w14:paraId="352B0618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89ACB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73A5C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StarStone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National Insurance Company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66A260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Core Specialty Insurance Group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03D9A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$1,572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8192F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Independent Agency, Managing General Agent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AEA8E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Liab</w:t>
            </w:r>
            <w:proofErr w:type="spellEnd"/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(Occurrence)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351232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7BC05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151%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C4B39B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6%</w:t>
            </w:r>
          </w:p>
        </w:tc>
      </w:tr>
      <w:tr w:rsidR="00990F19" w:rsidRPr="00990F19" w14:paraId="320D1136" w14:textId="77777777" w:rsidTr="00990F19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5A251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0EC95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Top 50 Total Premium or Average Growth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00E88C" w14:textId="77777777" w:rsidR="00990F19" w:rsidRPr="00990F19" w:rsidRDefault="00990F19" w:rsidP="00990F19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E60339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$654,804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67CAC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B99997" w14:textId="77777777" w:rsidR="00990F19" w:rsidRPr="00990F19" w:rsidRDefault="00990F19" w:rsidP="00990F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61E29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102%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FB861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11E88" w14:textId="77777777" w:rsidR="00990F19" w:rsidRPr="00990F19" w:rsidRDefault="00990F19" w:rsidP="00990F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90F19">
              <w:rPr>
                <w:rFonts w:ascii="Calibri" w:hAnsi="Calibri" w:cs="Calibri"/>
                <w:color w:val="000000"/>
                <w:sz w:val="14"/>
                <w:szCs w:val="14"/>
              </w:rPr>
              <w:t>16%</w:t>
            </w:r>
          </w:p>
        </w:tc>
      </w:tr>
    </w:tbl>
    <w:p w14:paraId="1A2C03BC" w14:textId="3A5A1B3C" w:rsidR="00995AB3" w:rsidRPr="00995AB3" w:rsidRDefault="00990F19" w:rsidP="00995AB3">
      <w:pPr>
        <w:rPr>
          <w:sz w:val="20"/>
          <w:szCs w:val="20"/>
        </w:rPr>
      </w:pPr>
      <w:r w:rsidRPr="00995AB3">
        <w:rPr>
          <w:sz w:val="20"/>
          <w:szCs w:val="20"/>
        </w:rPr>
        <w:t xml:space="preserve"> </w:t>
      </w:r>
      <w:r w:rsidR="00995AB3" w:rsidRPr="00995AB3">
        <w:rPr>
          <w:sz w:val="20"/>
          <w:szCs w:val="20"/>
        </w:rPr>
        <w:t>Table 1</w:t>
      </w:r>
      <w:r w:rsidR="00995AB3">
        <w:rPr>
          <w:sz w:val="20"/>
          <w:szCs w:val="20"/>
        </w:rPr>
        <w:t>7</w:t>
      </w:r>
      <w:r w:rsidR="00995AB3" w:rsidRPr="00995AB3">
        <w:rPr>
          <w:sz w:val="20"/>
          <w:szCs w:val="20"/>
        </w:rPr>
        <w:t xml:space="preserve"> | Source: © A.M. Best Company — used by permission | “*” indicates a zero ($0) or negative quarterly premium figure in one or more quarters</w:t>
      </w:r>
    </w:p>
    <w:p w14:paraId="756978FE" w14:textId="33A7469F" w:rsidR="008B7E26" w:rsidRPr="00FB1207" w:rsidRDefault="008B7E26" w:rsidP="00FB1207">
      <w:pPr>
        <w:pStyle w:val="Heading1-NoCollasping"/>
        <w:sectPr w:rsidR="008B7E26" w:rsidRPr="00FB1207" w:rsidSect="004D594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5235029" w14:textId="29597F82" w:rsidR="006C7528" w:rsidRPr="00FB1207" w:rsidRDefault="006C7528" w:rsidP="00FB1207">
      <w:pPr>
        <w:pStyle w:val="Heading1-NoCollasping"/>
      </w:pPr>
      <w:r w:rsidRPr="00FB1207">
        <w:lastRenderedPageBreak/>
        <w:t>Line</w:t>
      </w:r>
      <w:r w:rsidR="00CF690E" w:rsidRPr="00FB1207">
        <w:t>s</w:t>
      </w:r>
      <w:r w:rsidRPr="00FB1207">
        <w:t xml:space="preserve"> of Business</w:t>
      </w:r>
      <w:r w:rsidR="00E93994">
        <w:t xml:space="preserve"> Compared</w:t>
      </w:r>
    </w:p>
    <w:p w14:paraId="249E55E2" w14:textId="71728596" w:rsidR="00350B15" w:rsidRPr="008B7E26" w:rsidRDefault="00350B15" w:rsidP="00995AB3">
      <w:pPr>
        <w:pStyle w:val="Heading2-Landscape"/>
      </w:pPr>
      <w:r w:rsidRPr="008B7E26">
        <w:t>Lines of Business Growth Percentages</w:t>
      </w:r>
      <w:r w:rsidR="00AC1A66" w:rsidRPr="008B7E26">
        <w:t xml:space="preserve"> – </w:t>
      </w:r>
      <w:r w:rsidR="00D84509" w:rsidRPr="008B7E26">
        <w:t>United States</w:t>
      </w:r>
    </w:p>
    <w:p w14:paraId="76C70CDB" w14:textId="34A22B95" w:rsidR="006C7528" w:rsidRDefault="006C7528" w:rsidP="006C7528">
      <w:r>
        <w:t>What follows</w:t>
      </w:r>
      <w:r w:rsidR="00E93994">
        <w:t xml:space="preserve"> in Figures 18-20</w:t>
      </w:r>
      <w:r>
        <w:t xml:space="preserve"> </w:t>
      </w:r>
      <w:r w:rsidR="00CE200B">
        <w:t xml:space="preserve">is United States </w:t>
      </w:r>
      <w:r w:rsidR="009403E6">
        <w:t xml:space="preserve">line of business </w:t>
      </w:r>
      <w:r>
        <w:t>growth rate</w:t>
      </w:r>
      <w:r w:rsidR="00CE200B">
        <w:t xml:space="preserve"> </w:t>
      </w:r>
      <w:r w:rsidR="009B004E">
        <w:t>percentages</w:t>
      </w:r>
      <w:r>
        <w:t xml:space="preserve">.  </w:t>
      </w:r>
      <w:r w:rsidR="00E92B40">
        <w:t>D</w:t>
      </w:r>
      <w:r>
        <w:t xml:space="preserve">ata is not available quarterly </w:t>
      </w:r>
      <w:r w:rsidR="004A7B66">
        <w:t xml:space="preserve">for lines of business </w:t>
      </w:r>
      <w:r>
        <w:t>on a state-specific basis</w:t>
      </w:r>
      <w:r w:rsidR="004A7B66">
        <w:t xml:space="preserve">.  </w:t>
      </w:r>
      <w:r w:rsidR="00CF690E">
        <w:t>W</w:t>
      </w:r>
      <w:r>
        <w:t xml:space="preserve">hile not </w:t>
      </w:r>
      <w:r w:rsidR="009403E6">
        <w:t xml:space="preserve">perfectly </w:t>
      </w:r>
      <w:r>
        <w:t>representative o</w:t>
      </w:r>
      <w:r w:rsidR="00900CB8">
        <w:t>f</w:t>
      </w:r>
      <w:r>
        <w:t xml:space="preserve"> line of business </w:t>
      </w:r>
      <w:r w:rsidR="009403E6">
        <w:t xml:space="preserve">trends in </w:t>
      </w:r>
      <w:r w:rsidR="00006B17">
        <w:t>Nebraska</w:t>
      </w:r>
      <w:r>
        <w:t xml:space="preserve">, </w:t>
      </w:r>
      <w:r w:rsidR="004A7B66">
        <w:t xml:space="preserve">United States data </w:t>
      </w:r>
      <w:r>
        <w:t xml:space="preserve">is useful for </w:t>
      </w:r>
      <w:r w:rsidR="00006B17">
        <w:t>Nebraska</w:t>
      </w:r>
      <w:r w:rsidR="00BE372B">
        <w:t xml:space="preserve"> </w:t>
      </w:r>
      <w:r>
        <w:t>agents to know</w:t>
      </w:r>
      <w:r w:rsidR="00E93994">
        <w:t>,</w:t>
      </w:r>
      <w:r w:rsidR="00C554B1">
        <w:t xml:space="preserve"> </w:t>
      </w:r>
      <w:r w:rsidR="00BE372B">
        <w:t>as generally the</w:t>
      </w:r>
      <w:r w:rsidR="00EC74F2">
        <w:t>re is a strong</w:t>
      </w:r>
      <w:r w:rsidR="00BE372B">
        <w:t xml:space="preserve"> correlation </w:t>
      </w:r>
      <w:r w:rsidR="00EC74F2">
        <w:t xml:space="preserve">in each </w:t>
      </w:r>
      <w:r w:rsidR="00BE372B">
        <w:t xml:space="preserve">state </w:t>
      </w:r>
      <w:r w:rsidR="00EC74F2">
        <w:t xml:space="preserve">to </w:t>
      </w:r>
      <w:r w:rsidR="00C76B4C">
        <w:t>United States</w:t>
      </w:r>
      <w:r w:rsidR="00BE372B">
        <w:t xml:space="preserve"> </w:t>
      </w:r>
      <w:r w:rsidR="00900CB8">
        <w:t xml:space="preserve">line of business </w:t>
      </w:r>
      <w:r w:rsidR="00BE372B">
        <w:t>trends</w:t>
      </w:r>
      <w:r w:rsidR="00C554B1">
        <w:t>.</w:t>
      </w:r>
    </w:p>
    <w:p w14:paraId="7363934A" w14:textId="339DF5EC" w:rsidR="006C7528" w:rsidRPr="00763C03" w:rsidRDefault="009403E6" w:rsidP="00954D99">
      <w:pPr>
        <w:pStyle w:val="Graphics-Two-by-Two"/>
        <w:rPr>
          <w:rStyle w:val="SubtleEmphasis"/>
          <w:i w:val="0"/>
          <w:iCs w:val="0"/>
          <w:color w:val="auto"/>
          <w:sz w:val="22"/>
        </w:rPr>
      </w:pPr>
      <w:r w:rsidRPr="00954D99">
        <w:rPr>
          <w:rStyle w:val="SubtleEmphasis"/>
          <w:i w:val="0"/>
          <w:iCs w:val="0"/>
          <w:color w:val="auto"/>
          <w:sz w:val="22"/>
        </w:rPr>
        <w:drawing>
          <wp:inline distT="0" distB="0" distL="0" distR="0" wp14:anchorId="24D4C897" wp14:editId="24FD3E1C">
            <wp:extent cx="5943600" cy="2418113"/>
            <wp:effectExtent l="0" t="0" r="0" b="127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8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7654" w:rsidRPr="00E93994" w14:paraId="3AEFE82A" w14:textId="77777777" w:rsidTr="00FE7654">
        <w:trPr>
          <w:jc w:val="right"/>
        </w:trPr>
        <w:tc>
          <w:tcPr>
            <w:tcW w:w="3116" w:type="dxa"/>
          </w:tcPr>
          <w:p w14:paraId="74E7FA0B" w14:textId="1C9B43F5" w:rsidR="00FE7654" w:rsidRPr="00E93994" w:rsidRDefault="00FE7654" w:rsidP="00FE7654">
            <w:pPr>
              <w:pStyle w:val="DataTable3x3by2wide"/>
              <w:jc w:val="left"/>
              <w:rPr>
                <w:rStyle w:val="SubtleEmphasis"/>
                <w:i w:val="0"/>
                <w:iCs w:val="0"/>
                <w:color w:val="000000"/>
                <w:szCs w:val="20"/>
              </w:rPr>
            </w:pPr>
            <w:r w:rsidRPr="00E93994">
              <w:rPr>
                <w:rStyle w:val="SubtleEmphasis"/>
                <w:i w:val="0"/>
                <w:iCs w:val="0"/>
                <w:color w:val="000000"/>
                <w:szCs w:val="20"/>
              </w:rPr>
              <w:t>Figure</w:t>
            </w:r>
            <w:r w:rsidR="00210FFB" w:rsidRPr="00E93994">
              <w:rPr>
                <w:rStyle w:val="SubtleEmphasis"/>
                <w:i w:val="0"/>
                <w:iCs w:val="0"/>
                <w:color w:val="000000"/>
                <w:szCs w:val="20"/>
              </w:rPr>
              <w:t xml:space="preserve"> </w:t>
            </w:r>
            <w:r w:rsidR="00210FFB" w:rsidRPr="00E93994">
              <w:rPr>
                <w:rStyle w:val="SubtleEmphasis"/>
                <w:szCs w:val="20"/>
              </w:rPr>
              <w:t>1</w:t>
            </w:r>
            <w:r w:rsidR="00E93994" w:rsidRPr="00E93994">
              <w:rPr>
                <w:rStyle w:val="SubtleEmphasis"/>
                <w:szCs w:val="20"/>
              </w:rPr>
              <w:t>8</w:t>
            </w:r>
          </w:p>
        </w:tc>
        <w:tc>
          <w:tcPr>
            <w:tcW w:w="3117" w:type="dxa"/>
          </w:tcPr>
          <w:p w14:paraId="02707535" w14:textId="76EB7490" w:rsidR="00FE7654" w:rsidRPr="00E93994" w:rsidRDefault="00FE7654" w:rsidP="00FE7654">
            <w:pPr>
              <w:pStyle w:val="DataTable3x3by2wide"/>
              <w:jc w:val="left"/>
              <w:rPr>
                <w:rStyle w:val="SubtleEmphasis"/>
                <w:i w:val="0"/>
                <w:iCs w:val="0"/>
                <w:color w:val="000000"/>
                <w:szCs w:val="20"/>
              </w:rPr>
            </w:pPr>
            <w:r w:rsidRPr="00E93994">
              <w:rPr>
                <w:rStyle w:val="SubtleEmphasis"/>
                <w:i w:val="0"/>
                <w:iCs w:val="0"/>
                <w:color w:val="000000"/>
                <w:szCs w:val="20"/>
              </w:rPr>
              <w:t>Figure</w:t>
            </w:r>
            <w:r w:rsidR="00C10256">
              <w:rPr>
                <w:rStyle w:val="SubtleEmphasis"/>
                <w:i w:val="0"/>
                <w:iCs w:val="0"/>
                <w:color w:val="000000"/>
                <w:szCs w:val="20"/>
              </w:rPr>
              <w:t xml:space="preserve"> </w:t>
            </w:r>
            <w:r w:rsidR="00210FFB" w:rsidRPr="00E93994">
              <w:rPr>
                <w:rStyle w:val="SubtleEmphasis"/>
                <w:i w:val="0"/>
                <w:iCs w:val="0"/>
                <w:color w:val="000000"/>
                <w:szCs w:val="20"/>
              </w:rPr>
              <w:t>1</w:t>
            </w:r>
            <w:r w:rsidR="00E93994" w:rsidRPr="00E93994">
              <w:rPr>
                <w:rStyle w:val="SubtleEmphasis"/>
                <w:i w:val="0"/>
                <w:iCs w:val="0"/>
                <w:color w:val="000000"/>
                <w:szCs w:val="20"/>
              </w:rPr>
              <w:t>9</w:t>
            </w:r>
          </w:p>
        </w:tc>
        <w:tc>
          <w:tcPr>
            <w:tcW w:w="3117" w:type="dxa"/>
          </w:tcPr>
          <w:p w14:paraId="2F4D1373" w14:textId="60BB2043" w:rsidR="00FE7654" w:rsidRPr="00E93994" w:rsidRDefault="00FE7654" w:rsidP="00FE7654">
            <w:pPr>
              <w:pStyle w:val="DataTable3x3by2wide"/>
              <w:jc w:val="left"/>
              <w:rPr>
                <w:rStyle w:val="SubtleEmphasis"/>
                <w:i w:val="0"/>
                <w:iCs w:val="0"/>
                <w:color w:val="000000"/>
                <w:szCs w:val="20"/>
              </w:rPr>
            </w:pPr>
            <w:r w:rsidRPr="00E93994">
              <w:rPr>
                <w:rStyle w:val="SubtleEmphasis"/>
                <w:i w:val="0"/>
                <w:iCs w:val="0"/>
                <w:color w:val="000000"/>
                <w:szCs w:val="20"/>
              </w:rPr>
              <w:t>Figure</w:t>
            </w:r>
            <w:r w:rsidR="00210FFB" w:rsidRPr="00E93994">
              <w:rPr>
                <w:rStyle w:val="SubtleEmphasis"/>
                <w:i w:val="0"/>
                <w:iCs w:val="0"/>
                <w:color w:val="000000"/>
                <w:szCs w:val="20"/>
              </w:rPr>
              <w:t xml:space="preserve"> </w:t>
            </w:r>
            <w:r w:rsidR="00E93994" w:rsidRPr="00E93994">
              <w:rPr>
                <w:rStyle w:val="SubtleEmphasis"/>
                <w:i w:val="0"/>
                <w:iCs w:val="0"/>
                <w:color w:val="000000"/>
                <w:szCs w:val="20"/>
              </w:rPr>
              <w:t>2</w:t>
            </w:r>
            <w:r w:rsidR="00E93994" w:rsidRPr="00E93994">
              <w:rPr>
                <w:rStyle w:val="SubtleEmphasis"/>
                <w:color w:val="000000"/>
                <w:szCs w:val="20"/>
              </w:rPr>
              <w:t>0</w:t>
            </w:r>
          </w:p>
        </w:tc>
      </w:tr>
    </w:tbl>
    <w:p w14:paraId="4E167013" w14:textId="745EC892" w:rsidR="006C7528" w:rsidRPr="00DD386D" w:rsidRDefault="006C7528" w:rsidP="00DD386D">
      <w:pPr>
        <w:pStyle w:val="FiguresandAMBestSource"/>
        <w:rPr>
          <w:rStyle w:val="SubtleEmphasis"/>
          <w:i w:val="0"/>
          <w:iCs w:val="0"/>
          <w:color w:val="auto"/>
        </w:rPr>
      </w:pPr>
      <w:r w:rsidRPr="00DD386D">
        <w:rPr>
          <w:rStyle w:val="SubtleEmphasis"/>
          <w:i w:val="0"/>
          <w:iCs w:val="0"/>
          <w:color w:val="auto"/>
        </w:rPr>
        <w:t>Source: © A.M. Best Company — used by permission.</w:t>
      </w:r>
    </w:p>
    <w:p w14:paraId="4DD65BD9" w14:textId="1459735A" w:rsidR="006C7528" w:rsidRPr="00CD5572" w:rsidRDefault="00350B15" w:rsidP="00FB6AD2">
      <w:pPr>
        <w:pStyle w:val="Heading2-NoCollapsing"/>
      </w:pPr>
      <w:r>
        <w:t xml:space="preserve">Individual </w:t>
      </w:r>
      <w:r w:rsidR="006C7528" w:rsidRPr="00CD5572">
        <w:t>Lines of Business</w:t>
      </w:r>
      <w:r w:rsidR="00AC1A66">
        <w:t xml:space="preserve"> – </w:t>
      </w:r>
      <w:r w:rsidR="00D84509">
        <w:t>United States</w:t>
      </w:r>
    </w:p>
    <w:p w14:paraId="30E70A0A" w14:textId="5A3A1A98" w:rsidR="003D1587" w:rsidRDefault="00023908" w:rsidP="00337920">
      <w:r>
        <w:t xml:space="preserve">Provided </w:t>
      </w:r>
      <w:r w:rsidR="00995AB3">
        <w:t>on the following pages</w:t>
      </w:r>
      <w:r>
        <w:t>, f</w:t>
      </w:r>
      <w:r w:rsidR="00EC74F2">
        <w:t>or greater</w:t>
      </w:r>
      <w:r w:rsidR="00210FFB">
        <w:t xml:space="preserve"> </w:t>
      </w:r>
      <w:r w:rsidR="00337920">
        <w:t>insights on each line of business</w:t>
      </w:r>
      <w:r w:rsidR="00210FFB">
        <w:t xml:space="preserve"> beyond growth </w:t>
      </w:r>
      <w:r w:rsidR="00B8249D">
        <w:t>rates</w:t>
      </w:r>
      <w:r w:rsidR="00337920">
        <w:t xml:space="preserve">, </w:t>
      </w:r>
      <w:r w:rsidR="00210FFB">
        <w:t xml:space="preserve">is </w:t>
      </w:r>
      <w:r w:rsidR="00B8249D">
        <w:t xml:space="preserve">a </w:t>
      </w:r>
      <w:r w:rsidR="003D1587">
        <w:t xml:space="preserve">breakout </w:t>
      </w:r>
      <w:r w:rsidR="004A7B66">
        <w:t xml:space="preserve">view of </w:t>
      </w:r>
      <w:r w:rsidR="00FF4E43">
        <w:t xml:space="preserve">quarterly premiums for </w:t>
      </w:r>
      <w:r w:rsidR="003D1587">
        <w:t>each line of business</w:t>
      </w:r>
      <w:r w:rsidR="00B8249D">
        <w:t>,</w:t>
      </w:r>
      <w:r w:rsidR="004A7B66">
        <w:t xml:space="preserve"> </w:t>
      </w:r>
      <w:r w:rsidR="009B004E">
        <w:t xml:space="preserve">with </w:t>
      </w:r>
      <w:r w:rsidR="00B8249D">
        <w:t>the 3</w:t>
      </w:r>
      <w:r w:rsidR="00210FFB">
        <w:t xml:space="preserve"> measures of growth</w:t>
      </w:r>
      <w:r w:rsidR="00B8249D">
        <w:t xml:space="preserve">: </w:t>
      </w:r>
      <w:r w:rsidR="00995AB3">
        <w:t>short-term (</w:t>
      </w:r>
      <w:r w:rsidR="00B8249D" w:rsidRPr="00B8249D">
        <w:t>Q1-to-Q1</w:t>
      </w:r>
      <w:r w:rsidR="00995AB3">
        <w:t>)</w:t>
      </w:r>
      <w:r w:rsidR="00B8249D">
        <w:t xml:space="preserve">, </w:t>
      </w:r>
      <w:r w:rsidR="00995AB3">
        <w:t>medium-term (</w:t>
      </w:r>
      <w:r w:rsidR="00B8249D" w:rsidRPr="00B8249D">
        <w:t>Rolling 12</w:t>
      </w:r>
      <w:r w:rsidR="000209BC">
        <w:t>-</w:t>
      </w:r>
      <w:r w:rsidR="00B8249D" w:rsidRPr="00B8249D">
        <w:t>Months)</w:t>
      </w:r>
      <w:r w:rsidR="00B8249D">
        <w:t xml:space="preserve">, and </w:t>
      </w:r>
      <w:r w:rsidR="00995AB3">
        <w:t>long-term (</w:t>
      </w:r>
      <w:r w:rsidR="00B8249D" w:rsidRPr="00B8249D">
        <w:t>Average 4 Years</w:t>
      </w:r>
      <w:r w:rsidR="00DA39C2">
        <w:t>)</w:t>
      </w:r>
      <w:r w:rsidR="004A7B66">
        <w:t>.</w:t>
      </w:r>
      <w:r w:rsidR="003D1587">
        <w:t xml:space="preserve">  </w:t>
      </w:r>
      <w:r w:rsidR="004A7B66">
        <w:t xml:space="preserve">Total </w:t>
      </w:r>
      <w:r w:rsidR="00210FFB">
        <w:t>premium</w:t>
      </w:r>
      <w:r w:rsidR="00EC74F2">
        <w:t>s</w:t>
      </w:r>
      <w:r w:rsidR="00210FFB">
        <w:t xml:space="preserve"> </w:t>
      </w:r>
      <w:r w:rsidR="004A7B66">
        <w:t xml:space="preserve">for </w:t>
      </w:r>
      <w:r w:rsidR="00210FFB">
        <w:t>2021</w:t>
      </w:r>
      <w:r w:rsidR="004A7B66">
        <w:t xml:space="preserve"> for each line of business </w:t>
      </w:r>
      <w:r w:rsidR="00B8249D">
        <w:t>are</w:t>
      </w:r>
      <w:r w:rsidR="004A7B66">
        <w:t xml:space="preserve"> also provided under each </w:t>
      </w:r>
      <w:r w:rsidR="003D1587">
        <w:t>figure</w:t>
      </w:r>
      <w:r w:rsidR="005044AD">
        <w:t xml:space="preserve">.  </w:t>
      </w:r>
    </w:p>
    <w:p w14:paraId="16D77EEC" w14:textId="4E389F62" w:rsidR="00C10256" w:rsidRDefault="004A7B66" w:rsidP="00337920">
      <w:r>
        <w:t xml:space="preserve">For perspective, </w:t>
      </w:r>
      <w:r w:rsidR="00337920">
        <w:t xml:space="preserve">all lines of business </w:t>
      </w:r>
      <w:r w:rsidR="004909C2">
        <w:t xml:space="preserve">are </w:t>
      </w:r>
      <w:r w:rsidR="00337920">
        <w:t>combined</w:t>
      </w:r>
      <w:r w:rsidR="005044AD">
        <w:t xml:space="preserve"> </w:t>
      </w:r>
      <w:r w:rsidR="004909C2">
        <w:t xml:space="preserve">and shown </w:t>
      </w:r>
      <w:r w:rsidR="005044AD">
        <w:t>together</w:t>
      </w:r>
      <w:r w:rsidR="004909C2">
        <w:t xml:space="preserve"> in </w:t>
      </w:r>
      <w:r w:rsidR="004909C2" w:rsidRPr="00023908">
        <w:t>Figure 21</w:t>
      </w:r>
      <w:r w:rsidR="00AC1A66">
        <w:t xml:space="preserve"> – </w:t>
      </w:r>
      <w:r w:rsidR="004909C2" w:rsidRPr="00C10256">
        <w:rPr>
          <w:i/>
          <w:iCs/>
        </w:rPr>
        <w:t>Premium: All Lines of Business</w:t>
      </w:r>
      <w:r w:rsidR="004909C2">
        <w:t xml:space="preserve"> and </w:t>
      </w:r>
      <w:r w:rsidR="00C10256">
        <w:t>its</w:t>
      </w:r>
      <w:r w:rsidR="004909C2">
        <w:t xml:space="preserve"> corresponding Table 21</w:t>
      </w:r>
      <w:r w:rsidR="00FF4E43">
        <w:t xml:space="preserve">.  It </w:t>
      </w:r>
      <w:r w:rsidR="00C10256">
        <w:t xml:space="preserve">is </w:t>
      </w:r>
      <w:r w:rsidR="00210FFB">
        <w:t>provide</w:t>
      </w:r>
      <w:r w:rsidR="00EC74F2">
        <w:t>d</w:t>
      </w:r>
      <w:r w:rsidR="00210FFB">
        <w:t xml:space="preserve"> </w:t>
      </w:r>
      <w:r w:rsidR="00EC74F2">
        <w:t xml:space="preserve">as a base-line </w:t>
      </w:r>
      <w:r w:rsidR="00900CB8">
        <w:t xml:space="preserve">reference </w:t>
      </w:r>
      <w:r w:rsidR="00C10256">
        <w:t xml:space="preserve">for </w:t>
      </w:r>
      <w:r>
        <w:t xml:space="preserve">each line of business </w:t>
      </w:r>
      <w:r w:rsidR="003D1587">
        <w:t>breakout</w:t>
      </w:r>
      <w:r w:rsidR="00DA39C2">
        <w:t>s that follow</w:t>
      </w:r>
      <w:r w:rsidR="00023908">
        <w:t xml:space="preserve"> in Figures and Tables 22-4</w:t>
      </w:r>
      <w:r w:rsidR="008C58DA">
        <w:t>4</w:t>
      </w:r>
      <w:r w:rsidR="00210FFB">
        <w:t>.</w:t>
      </w:r>
    </w:p>
    <w:p w14:paraId="6EF07788" w14:textId="62BCA330" w:rsidR="00557A55" w:rsidRDefault="008853C1" w:rsidP="00337920">
      <w:r>
        <w:t xml:space="preserve">Figures </w:t>
      </w:r>
      <w:r w:rsidR="00C10256">
        <w:t xml:space="preserve">and Tables </w:t>
      </w:r>
      <w:r>
        <w:t>2</w:t>
      </w:r>
      <w:r w:rsidR="00C10256">
        <w:t>2</w:t>
      </w:r>
      <w:r>
        <w:t>-4</w:t>
      </w:r>
      <w:r w:rsidR="003D249C">
        <w:t>3</w:t>
      </w:r>
      <w:r>
        <w:t xml:space="preserve"> </w:t>
      </w:r>
      <w:r w:rsidR="00C10256">
        <w:t xml:space="preserve">give premium data </w:t>
      </w:r>
      <w:r w:rsidR="00D84509">
        <w:t>for</w:t>
      </w:r>
      <w:r w:rsidR="00C10256">
        <w:t xml:space="preserve"> </w:t>
      </w:r>
      <w:r w:rsidR="007C1097">
        <w:t>the various lines of business</w:t>
      </w:r>
      <w:r w:rsidR="00D84509">
        <w:t xml:space="preserve"> that agents focus on, as </w:t>
      </w:r>
      <w:r w:rsidR="007C1097">
        <w:t>reported quarterly.  The</w:t>
      </w:r>
      <w:r w:rsidR="00900CB8">
        <w:t xml:space="preserve"> lines of business</w:t>
      </w:r>
      <w:r w:rsidR="007C1097">
        <w:t xml:space="preserve"> are listed in order of </w:t>
      </w:r>
      <w:r w:rsidR="00D84509">
        <w:t xml:space="preserve">highest total </w:t>
      </w:r>
      <w:r w:rsidR="004A7B66">
        <w:t>premium</w:t>
      </w:r>
      <w:r w:rsidR="00D84509">
        <w:t xml:space="preserve">s in dollars </w:t>
      </w:r>
      <w:r w:rsidR="004A7B66">
        <w:t>(All Auto) to least (International)</w:t>
      </w:r>
      <w:r w:rsidR="00900CB8">
        <w:t>.  Following the</w:t>
      </w:r>
      <w:r w:rsidR="00D84509">
        <w:t xml:space="preserve"> agent-focus</w:t>
      </w:r>
      <w:r w:rsidR="004F1D70">
        <w:t>ed</w:t>
      </w:r>
      <w:r w:rsidR="00D84509">
        <w:t xml:space="preserve"> lines of business</w:t>
      </w:r>
      <w:r w:rsidR="00900CB8">
        <w:t>, listed last as Figure 4</w:t>
      </w:r>
      <w:r w:rsidR="003D249C">
        <w:t>4</w:t>
      </w:r>
      <w:r w:rsidR="00900CB8">
        <w:t xml:space="preserve">, is </w:t>
      </w:r>
      <w:r w:rsidR="00D84509">
        <w:t>N</w:t>
      </w:r>
      <w:r w:rsidR="004A7B66">
        <w:t>on-</w:t>
      </w:r>
      <w:r w:rsidR="00D84509">
        <w:t>A</w:t>
      </w:r>
      <w:r w:rsidR="004A7B66">
        <w:t xml:space="preserve">gent </w:t>
      </w:r>
      <w:r w:rsidR="00D84509">
        <w:t>L</w:t>
      </w:r>
      <w:r w:rsidR="004A7B66">
        <w:t xml:space="preserve">ines combined.  </w:t>
      </w:r>
      <w:r w:rsidR="00C76C5B">
        <w:t>Non-agent lines include</w:t>
      </w:r>
      <w:r w:rsidR="00210FFB">
        <w:t xml:space="preserve"> </w:t>
      </w:r>
      <w:r w:rsidR="00C76C5B">
        <w:t>smaller lines independent agents do not focus on</w:t>
      </w:r>
      <w:r w:rsidR="00FF4E43">
        <w:t>,</w:t>
      </w:r>
      <w:r w:rsidR="00C76C5B">
        <w:t xml:space="preserve"> </w:t>
      </w:r>
      <w:r w:rsidR="004F1D70">
        <w:t>such as</w:t>
      </w:r>
      <w:r w:rsidR="00C76C5B">
        <w:t xml:space="preserve"> credit, </w:t>
      </w:r>
      <w:r w:rsidR="00210FFB">
        <w:t xml:space="preserve">dental, </w:t>
      </w:r>
      <w:r w:rsidR="001E5939">
        <w:t>medical supplement</w:t>
      </w:r>
      <w:r w:rsidR="00FF4E43">
        <w:t>,</w:t>
      </w:r>
      <w:r w:rsidR="001E5939">
        <w:t xml:space="preserve"> </w:t>
      </w:r>
      <w:r w:rsidR="00C76C5B">
        <w:t xml:space="preserve">and </w:t>
      </w:r>
      <w:r w:rsidR="00210FFB">
        <w:t>warranties</w:t>
      </w:r>
      <w:r w:rsidR="005044AD">
        <w:t>.</w:t>
      </w:r>
    </w:p>
    <w:p w14:paraId="79480F70" w14:textId="5B488B07" w:rsidR="00C76C5B" w:rsidRDefault="00C76C5B">
      <w:r>
        <w:br w:type="page"/>
      </w:r>
    </w:p>
    <w:p w14:paraId="090A5FC4" w14:textId="5CD1CCAE" w:rsidR="00472834" w:rsidRPr="00B91DF3" w:rsidRDefault="007D4C1B" w:rsidP="00FB1207">
      <w:pPr>
        <w:pStyle w:val="Seperator2"/>
      </w:pPr>
      <w:r>
        <w:lastRenderedPageBreak/>
        <w:t>All Lines Premium</w:t>
      </w:r>
      <w:r w:rsidR="00435FB0">
        <w:t xml:space="preserve"> – </w:t>
      </w:r>
      <w:r>
        <w:t>For Perspective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17"/>
        <w:gridCol w:w="3117"/>
      </w:tblGrid>
      <w:tr w:rsidR="00954D99" w14:paraId="61C2A383" w14:textId="77777777" w:rsidTr="005448CC">
        <w:tc>
          <w:tcPr>
            <w:tcW w:w="3126" w:type="dxa"/>
          </w:tcPr>
          <w:p w14:paraId="24F1678D" w14:textId="29968AA0" w:rsidR="00954D99" w:rsidRDefault="006B5ABD" w:rsidP="006F78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42E11CD9" wp14:editId="39B5ED45">
                  <wp:extent cx="1828800" cy="1211956"/>
                  <wp:effectExtent l="0" t="0" r="0" b="762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1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C1E64A3" w14:textId="77777777" w:rsidR="00954D99" w:rsidRPr="002B1434" w:rsidRDefault="00954D99" w:rsidP="004B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507A7F2" w14:textId="77777777" w:rsidR="00954D99" w:rsidRPr="002B1434" w:rsidRDefault="00954D99" w:rsidP="004B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1DD5" w:rsidRPr="00D91DD5" w14:paraId="0B850802" w14:textId="77777777" w:rsidTr="00C33CD2">
        <w:tc>
          <w:tcPr>
            <w:tcW w:w="3126" w:type="dxa"/>
          </w:tcPr>
          <w:p w14:paraId="5F2E0C52" w14:textId="302EC204" w:rsidR="00D91DD5" w:rsidRPr="00D91DD5" w:rsidRDefault="00D91DD5" w:rsidP="00C33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D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Figure </w:t>
            </w:r>
            <w:r w:rsidR="00B824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7" w:type="dxa"/>
          </w:tcPr>
          <w:p w14:paraId="049B81E1" w14:textId="77777777" w:rsidR="00D91DD5" w:rsidRPr="00D91DD5" w:rsidRDefault="00D91DD5" w:rsidP="00C33C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D25147" w14:textId="77777777" w:rsidR="00D91DD5" w:rsidRPr="00D91DD5" w:rsidRDefault="00D91DD5" w:rsidP="00C33C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1DD5" w:rsidRPr="00E93994" w14:paraId="333A5079" w14:textId="77777777" w:rsidTr="005448CC">
        <w:tc>
          <w:tcPr>
            <w:tcW w:w="3126" w:type="dxa"/>
          </w:tcPr>
          <w:p w14:paraId="64767F06" w14:textId="77777777" w:rsidR="00D91DD5" w:rsidRPr="00E93994" w:rsidRDefault="00D91DD5" w:rsidP="006F78B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17" w:type="dxa"/>
          </w:tcPr>
          <w:p w14:paraId="30F40423" w14:textId="77777777" w:rsidR="00D91DD5" w:rsidRPr="00E93994" w:rsidRDefault="00D91DD5" w:rsidP="004B4647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17" w:type="dxa"/>
          </w:tcPr>
          <w:p w14:paraId="1C4F8F54" w14:textId="77777777" w:rsidR="00D91DD5" w:rsidRPr="00E93994" w:rsidRDefault="00D91DD5" w:rsidP="004B4647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6F78B6" w14:paraId="23AC468C" w14:textId="77777777" w:rsidTr="005448CC">
        <w:tc>
          <w:tcPr>
            <w:tcW w:w="3126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6"/>
              <w:gridCol w:w="967"/>
              <w:gridCol w:w="967"/>
            </w:tblGrid>
            <w:tr w:rsidR="006F78B6" w:rsidRPr="006F78B6" w14:paraId="2609B6E9" w14:textId="77777777" w:rsidTr="006F78B6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B1B79" w14:textId="2E676E0D" w:rsidR="006F78B6" w:rsidRPr="006F78B6" w:rsidRDefault="00E065D3" w:rsidP="006F7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6F78B6" w:rsidRPr="006F78B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9B238" w14:textId="77777777" w:rsidR="006F78B6" w:rsidRPr="006F78B6" w:rsidRDefault="006F78B6" w:rsidP="006F7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F78B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6F033" w14:textId="77777777" w:rsidR="006F78B6" w:rsidRPr="006F78B6" w:rsidRDefault="006F78B6" w:rsidP="006F7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F78B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6F78B6" w:rsidRPr="006F78B6" w14:paraId="51C36381" w14:textId="77777777" w:rsidTr="006F78B6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ACF13" w14:textId="77777777" w:rsidR="006F78B6" w:rsidRPr="006F78B6" w:rsidRDefault="006F78B6" w:rsidP="006F7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F78B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9.5%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70236" w14:textId="77777777" w:rsidR="006F78B6" w:rsidRPr="006F78B6" w:rsidRDefault="006F78B6" w:rsidP="006F7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F78B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10.1%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CCA8D" w14:textId="77777777" w:rsidR="006F78B6" w:rsidRPr="006F78B6" w:rsidRDefault="006F78B6" w:rsidP="006F7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F78B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5.9%</w:t>
                  </w:r>
                </w:p>
              </w:tc>
            </w:tr>
            <w:tr w:rsidR="006F78B6" w:rsidRPr="006F78B6" w14:paraId="0E850109" w14:textId="77777777" w:rsidTr="006F78B6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CD355D" w14:textId="77777777" w:rsidR="006F78B6" w:rsidRPr="006F78B6" w:rsidRDefault="006F78B6" w:rsidP="006F78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F78B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$798,849,370,000</w:t>
                  </w:r>
                </w:p>
              </w:tc>
            </w:tr>
          </w:tbl>
          <w:p w14:paraId="7364FED3" w14:textId="77777777" w:rsidR="006F78B6" w:rsidRDefault="006F78B6" w:rsidP="004B4647"/>
        </w:tc>
        <w:tc>
          <w:tcPr>
            <w:tcW w:w="3117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1100"/>
              <w:gridCol w:w="829"/>
              <w:gridCol w:w="972"/>
            </w:tblGrid>
            <w:tr w:rsidR="006F78B6" w:rsidRPr="002B1434" w14:paraId="46DC098B" w14:textId="77777777" w:rsidTr="006F78B6">
              <w:trPr>
                <w:trHeight w:val="288"/>
              </w:trPr>
              <w:tc>
                <w:tcPr>
                  <w:tcW w:w="6060" w:type="dxa"/>
                  <w:gridSpan w:val="3"/>
                  <w:shd w:val="clear" w:color="auto" w:fill="auto"/>
                  <w:noWrap/>
                  <w:vAlign w:val="bottom"/>
                </w:tcPr>
                <w:p w14:paraId="0490ECE0" w14:textId="614C883D" w:rsidR="006F78B6" w:rsidRPr="002B1434" w:rsidRDefault="006F78B6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F78B6" w:rsidRPr="002B1434" w14:paraId="776A647A" w14:textId="77777777" w:rsidTr="006F78B6">
              <w:trPr>
                <w:trHeight w:val="288"/>
              </w:trPr>
              <w:tc>
                <w:tcPr>
                  <w:tcW w:w="2339" w:type="dxa"/>
                  <w:shd w:val="clear" w:color="auto" w:fill="auto"/>
                  <w:noWrap/>
                  <w:vAlign w:val="bottom"/>
                  <w:hideMark/>
                </w:tcPr>
                <w:p w14:paraId="0266EDDF" w14:textId="5DBEAD20" w:rsidR="006F78B6" w:rsidRPr="002B1434" w:rsidRDefault="006F78B6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auto"/>
                  <w:noWrap/>
                  <w:vAlign w:val="bottom"/>
                </w:tcPr>
                <w:p w14:paraId="41C0255B" w14:textId="135F5E1F" w:rsidR="006F78B6" w:rsidRPr="002B1434" w:rsidRDefault="006F78B6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noWrap/>
                  <w:vAlign w:val="bottom"/>
                </w:tcPr>
                <w:p w14:paraId="0365E763" w14:textId="501366E6" w:rsidR="006F78B6" w:rsidRPr="002B1434" w:rsidRDefault="006F78B6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F78B6" w:rsidRPr="002B1434" w14:paraId="3C2A0E3F" w14:textId="77777777" w:rsidTr="006F78B6">
              <w:trPr>
                <w:trHeight w:val="288"/>
              </w:trPr>
              <w:tc>
                <w:tcPr>
                  <w:tcW w:w="2339" w:type="dxa"/>
                  <w:shd w:val="clear" w:color="auto" w:fill="auto"/>
                  <w:noWrap/>
                  <w:vAlign w:val="bottom"/>
                  <w:hideMark/>
                </w:tcPr>
                <w:p w14:paraId="479DA045" w14:textId="0391001A" w:rsidR="006F78B6" w:rsidRPr="002B1434" w:rsidRDefault="006F78B6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auto"/>
                  <w:noWrap/>
                  <w:vAlign w:val="bottom"/>
                </w:tcPr>
                <w:p w14:paraId="051A4BF7" w14:textId="47D1FC08" w:rsidR="006F78B6" w:rsidRPr="002B1434" w:rsidRDefault="006F78B6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noWrap/>
                  <w:vAlign w:val="bottom"/>
                </w:tcPr>
                <w:p w14:paraId="5CE0EE7D" w14:textId="4CAA9990" w:rsidR="006F78B6" w:rsidRPr="002B1434" w:rsidRDefault="006F78B6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47162C0" w14:textId="77777777" w:rsidR="006F78B6" w:rsidRDefault="006F78B6" w:rsidP="004B4647"/>
        </w:tc>
        <w:tc>
          <w:tcPr>
            <w:tcW w:w="3117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1100"/>
              <w:gridCol w:w="829"/>
              <w:gridCol w:w="972"/>
            </w:tblGrid>
            <w:tr w:rsidR="006F78B6" w:rsidRPr="002B1434" w14:paraId="2575FBF6" w14:textId="77777777" w:rsidTr="006F78B6">
              <w:trPr>
                <w:trHeight w:val="288"/>
              </w:trPr>
              <w:tc>
                <w:tcPr>
                  <w:tcW w:w="6060" w:type="dxa"/>
                  <w:gridSpan w:val="3"/>
                  <w:shd w:val="clear" w:color="auto" w:fill="auto"/>
                  <w:noWrap/>
                  <w:vAlign w:val="bottom"/>
                </w:tcPr>
                <w:p w14:paraId="7CE62DBF" w14:textId="6CBDA68E" w:rsidR="006F78B6" w:rsidRPr="002B1434" w:rsidRDefault="006F78B6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F78B6" w:rsidRPr="002B1434" w14:paraId="5D4EDE94" w14:textId="77777777" w:rsidTr="006F78B6">
              <w:trPr>
                <w:trHeight w:val="288"/>
              </w:trPr>
              <w:tc>
                <w:tcPr>
                  <w:tcW w:w="2339" w:type="dxa"/>
                  <w:shd w:val="clear" w:color="auto" w:fill="auto"/>
                  <w:noWrap/>
                  <w:vAlign w:val="bottom"/>
                </w:tcPr>
                <w:p w14:paraId="3A4FE4B5" w14:textId="081E9D1E" w:rsidR="006F78B6" w:rsidRPr="002B1434" w:rsidRDefault="006F78B6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auto"/>
                  <w:noWrap/>
                  <w:vAlign w:val="bottom"/>
                </w:tcPr>
                <w:p w14:paraId="2605D384" w14:textId="4ABB2245" w:rsidR="006F78B6" w:rsidRPr="002B1434" w:rsidRDefault="006F78B6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noWrap/>
                  <w:vAlign w:val="bottom"/>
                </w:tcPr>
                <w:p w14:paraId="489027AC" w14:textId="42AB8FDE" w:rsidR="006F78B6" w:rsidRPr="002B1434" w:rsidRDefault="006F78B6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F78B6" w:rsidRPr="002B1434" w14:paraId="04CEE84C" w14:textId="77777777" w:rsidTr="006F78B6">
              <w:trPr>
                <w:trHeight w:val="288"/>
              </w:trPr>
              <w:tc>
                <w:tcPr>
                  <w:tcW w:w="2339" w:type="dxa"/>
                  <w:shd w:val="clear" w:color="auto" w:fill="auto"/>
                  <w:noWrap/>
                  <w:vAlign w:val="bottom"/>
                </w:tcPr>
                <w:p w14:paraId="35BDBF97" w14:textId="59F35367" w:rsidR="006F78B6" w:rsidRPr="002B1434" w:rsidRDefault="006F78B6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auto"/>
                  <w:noWrap/>
                  <w:vAlign w:val="bottom"/>
                </w:tcPr>
                <w:p w14:paraId="4B6BC5F1" w14:textId="1A4B6877" w:rsidR="006F78B6" w:rsidRPr="002B1434" w:rsidRDefault="006F78B6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noWrap/>
                  <w:vAlign w:val="bottom"/>
                </w:tcPr>
                <w:p w14:paraId="00959056" w14:textId="197E3888" w:rsidR="006F78B6" w:rsidRPr="002B1434" w:rsidRDefault="006F78B6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24FCE" w14:textId="77777777" w:rsidR="006F78B6" w:rsidRDefault="006F78B6" w:rsidP="004B4647"/>
        </w:tc>
      </w:tr>
      <w:tr w:rsidR="005448CC" w:rsidRPr="00D91DD5" w14:paraId="3B4E03A5" w14:textId="77777777" w:rsidTr="005448CC">
        <w:tc>
          <w:tcPr>
            <w:tcW w:w="3126" w:type="dxa"/>
          </w:tcPr>
          <w:p w14:paraId="3B5C9F60" w14:textId="1F3F091A" w:rsidR="005448CC" w:rsidRPr="00D91DD5" w:rsidRDefault="00B8249D" w:rsidP="00544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Table 21</w:t>
            </w:r>
          </w:p>
        </w:tc>
        <w:tc>
          <w:tcPr>
            <w:tcW w:w="3117" w:type="dxa"/>
          </w:tcPr>
          <w:p w14:paraId="6B5B01CF" w14:textId="77777777" w:rsidR="005448CC" w:rsidRPr="00D91DD5" w:rsidRDefault="005448CC" w:rsidP="004B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D615D89" w14:textId="77777777" w:rsidR="005448CC" w:rsidRPr="00D91DD5" w:rsidRDefault="005448CC" w:rsidP="004B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A531044" w14:textId="2B789383" w:rsidR="006F78B6" w:rsidRPr="00B91DF3" w:rsidRDefault="00CC5091" w:rsidP="00FB1207">
      <w:pPr>
        <w:pStyle w:val="Seperator2"/>
      </w:pPr>
      <w:r w:rsidRPr="00B91DF3">
        <w:rPr>
          <w:rStyle w:val="Emphasis"/>
          <w:i/>
          <w:iCs/>
          <w:sz w:val="22"/>
          <w:szCs w:val="22"/>
        </w:rPr>
        <w:t>Line of Business Breakout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54D99" w14:paraId="257B1E72" w14:textId="77777777" w:rsidTr="005448CC">
        <w:tc>
          <w:tcPr>
            <w:tcW w:w="3120" w:type="dxa"/>
          </w:tcPr>
          <w:p w14:paraId="478558FB" w14:textId="54B1F973" w:rsidR="00954D99" w:rsidRDefault="006B5ABD" w:rsidP="008A1C8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7427CF50" wp14:editId="4A779B79">
                  <wp:extent cx="1828800" cy="1215152"/>
                  <wp:effectExtent l="0" t="0" r="0" b="444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5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61B36DBF" w14:textId="083A90A0" w:rsidR="00954D99" w:rsidRDefault="006B5ABD" w:rsidP="008A1C8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26674AA7" wp14:editId="41E21951">
                  <wp:extent cx="1828800" cy="1215152"/>
                  <wp:effectExtent l="0" t="0" r="0" b="444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5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3B862D0D" w14:textId="3DA47EB8" w:rsidR="00954D99" w:rsidRDefault="006B5ABD" w:rsidP="008A1C8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2A0971E0" wp14:editId="5435FC49">
                  <wp:extent cx="1828800" cy="1220481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0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DD5" w:rsidRPr="00D91DD5" w14:paraId="3122F588" w14:textId="77777777" w:rsidTr="00C33CD2">
        <w:tc>
          <w:tcPr>
            <w:tcW w:w="3120" w:type="dxa"/>
          </w:tcPr>
          <w:p w14:paraId="2CDCD259" w14:textId="4076ADA5" w:rsidR="00D91DD5" w:rsidRPr="00D91DD5" w:rsidRDefault="00D91DD5" w:rsidP="00C33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D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Figure 2</w:t>
            </w:r>
            <w:r w:rsidR="00B824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14:paraId="2E7E5934" w14:textId="6E5191FD" w:rsidR="00D91DD5" w:rsidRPr="00D91DD5" w:rsidRDefault="00D91DD5" w:rsidP="00C33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D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Figure 2</w:t>
            </w:r>
            <w:r w:rsidR="00B824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14:paraId="4030F48F" w14:textId="7C678738" w:rsidR="00D91DD5" w:rsidRPr="00D91DD5" w:rsidRDefault="00D91DD5" w:rsidP="00C33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D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Figure 2</w:t>
            </w:r>
            <w:r w:rsidR="00B824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91DD5" w:rsidRPr="00B8249D" w14:paraId="4C4957C9" w14:textId="77777777" w:rsidTr="005448CC">
        <w:tc>
          <w:tcPr>
            <w:tcW w:w="3120" w:type="dxa"/>
          </w:tcPr>
          <w:p w14:paraId="4064AE8F" w14:textId="77777777" w:rsidR="00D91DD5" w:rsidRPr="00B8249D" w:rsidRDefault="00D91DD5" w:rsidP="008A1C8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71897E4F" w14:textId="77777777" w:rsidR="00D91DD5" w:rsidRPr="00B8249D" w:rsidRDefault="00D91DD5" w:rsidP="008A1C8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42BF9F26" w14:textId="77777777" w:rsidR="00D91DD5" w:rsidRPr="00B8249D" w:rsidRDefault="00D91DD5" w:rsidP="008A1C8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2B1434" w14:paraId="6E7E3BC5" w14:textId="77777777" w:rsidTr="005448CC"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8A1C8E" w:rsidRPr="008A1C8E" w14:paraId="3CC9E864" w14:textId="77777777" w:rsidTr="008A1C8E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4F736" w14:textId="3DDB3436" w:rsidR="008A1C8E" w:rsidRPr="008A1C8E" w:rsidRDefault="00E065D3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8A1C8E"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CA26B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FA781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8A1C8E" w:rsidRPr="008A1C8E" w14:paraId="7EA7AB40" w14:textId="77777777" w:rsidTr="008A1C8E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506CB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5.8%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251A4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35.6%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2EDC1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4.0%</w:t>
                  </w:r>
                </w:p>
              </w:tc>
            </w:tr>
            <w:tr w:rsidR="008A1C8E" w:rsidRPr="008A1C8E" w14:paraId="197F55E6" w14:textId="77777777" w:rsidTr="008A1C8E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61A18D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$315,572,365,000</w:t>
                  </w:r>
                </w:p>
              </w:tc>
            </w:tr>
          </w:tbl>
          <w:p w14:paraId="3C46633A" w14:textId="4BD01982" w:rsidR="002B1434" w:rsidRDefault="002B1434" w:rsidP="006C7528"/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8A1C8E" w:rsidRPr="008A1C8E" w14:paraId="6977B843" w14:textId="77777777" w:rsidTr="008A1C8E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3DB40" w14:textId="61A4DE46" w:rsidR="008A1C8E" w:rsidRPr="008A1C8E" w:rsidRDefault="00E065D3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8A1C8E"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EE890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CACA3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8A1C8E" w:rsidRPr="008A1C8E" w14:paraId="68DC09FD" w14:textId="77777777" w:rsidTr="008A1C8E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4D462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10.6%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4789C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9.2%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3DDAE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7.1%</w:t>
                  </w:r>
                </w:p>
              </w:tc>
            </w:tr>
            <w:tr w:rsidR="008A1C8E" w:rsidRPr="008A1C8E" w14:paraId="099A5E60" w14:textId="77777777" w:rsidTr="008A1C8E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782E70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$120,426,305,000</w:t>
                  </w:r>
                </w:p>
              </w:tc>
            </w:tr>
          </w:tbl>
          <w:p w14:paraId="73596D60" w14:textId="77777777" w:rsidR="002B1434" w:rsidRDefault="002B1434" w:rsidP="006C7528"/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8A1C8E" w:rsidRPr="008A1C8E" w14:paraId="442A5385" w14:textId="77777777" w:rsidTr="008A1C8E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A7FF5" w14:textId="0E37C463" w:rsidR="008A1C8E" w:rsidRPr="008A1C8E" w:rsidRDefault="00E065D3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8A1C8E"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BCB11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A4F1F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8A1C8E" w:rsidRPr="008A1C8E" w14:paraId="10B332B4" w14:textId="77777777" w:rsidTr="008A1C8E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2E784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12.9%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87066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16.6%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CAA6E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10.6%</w:t>
                  </w:r>
                </w:p>
              </w:tc>
            </w:tr>
            <w:tr w:rsidR="008A1C8E" w:rsidRPr="008A1C8E" w14:paraId="12B61495" w14:textId="77777777" w:rsidTr="008A1C8E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ACD6B7" w14:textId="77777777" w:rsidR="008A1C8E" w:rsidRPr="008A1C8E" w:rsidRDefault="008A1C8E" w:rsidP="008A1C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A1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$64,099,480,000</w:t>
                  </w:r>
                </w:p>
              </w:tc>
            </w:tr>
          </w:tbl>
          <w:p w14:paraId="48C5FCC0" w14:textId="77777777" w:rsidR="002B1434" w:rsidRDefault="002B1434" w:rsidP="006C7528"/>
        </w:tc>
      </w:tr>
      <w:tr w:rsidR="006F1D55" w:rsidRPr="00D91DD5" w14:paraId="617A16DE" w14:textId="77777777" w:rsidTr="005448CC">
        <w:tc>
          <w:tcPr>
            <w:tcW w:w="3120" w:type="dxa"/>
          </w:tcPr>
          <w:p w14:paraId="5C2FAFD0" w14:textId="6B6E7EA1" w:rsidR="006F1D55" w:rsidRPr="00D91DD5" w:rsidRDefault="00B8249D" w:rsidP="00544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Table</w:t>
            </w:r>
            <w:r w:rsidR="006F1D55" w:rsidRPr="00D91D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372BF" w:rsidRPr="00D91D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14:paraId="2C789435" w14:textId="7BA6F6D1" w:rsidR="006F1D55" w:rsidRPr="00D91DD5" w:rsidRDefault="00B8249D" w:rsidP="00544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Table</w:t>
            </w:r>
            <w:r w:rsidR="005448CC" w:rsidRPr="00D91D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14:paraId="28DA8055" w14:textId="492321A6" w:rsidR="006F1D55" w:rsidRPr="00D91DD5" w:rsidRDefault="00B8249D" w:rsidP="00544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Table</w:t>
            </w:r>
            <w:r w:rsidR="005448CC" w:rsidRPr="00D91D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</w:tbl>
    <w:p w14:paraId="628A8424" w14:textId="73E6F80C" w:rsidR="00E509AB" w:rsidRPr="00B91DF3" w:rsidRDefault="00CC5091" w:rsidP="00FB1207">
      <w:pPr>
        <w:pStyle w:val="Seperator2"/>
      </w:pPr>
      <w:r w:rsidRPr="00B91DF3">
        <w:rPr>
          <w:rStyle w:val="Emphasis"/>
          <w:i/>
          <w:iCs/>
          <w:sz w:val="22"/>
          <w:szCs w:val="22"/>
        </w:rPr>
        <w:t>Line of Business Breakout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54D99" w14:paraId="02645BB1" w14:textId="77777777" w:rsidTr="00954D99">
        <w:tc>
          <w:tcPr>
            <w:tcW w:w="3120" w:type="dxa"/>
          </w:tcPr>
          <w:p w14:paraId="6501AB4B" w14:textId="4E29D179" w:rsidR="00954D99" w:rsidRDefault="006B5ABD" w:rsidP="00E509A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668276C8" wp14:editId="283919CF">
                  <wp:extent cx="1828800" cy="1218348"/>
                  <wp:effectExtent l="0" t="0" r="0" b="127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8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0C154839" w14:textId="622D5BDC" w:rsidR="00954D99" w:rsidRDefault="006B5ABD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2D95017F" wp14:editId="436053CF">
                  <wp:extent cx="1828800" cy="1220481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0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27805C5E" w14:textId="528A33AA" w:rsidR="00954D99" w:rsidRDefault="006B5ABD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244EEC33" wp14:editId="505F6AEF">
                  <wp:extent cx="1828800" cy="1218348"/>
                  <wp:effectExtent l="0" t="0" r="0" b="127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8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DD5" w:rsidRPr="00D91DD5" w14:paraId="49905BEA" w14:textId="77777777" w:rsidTr="00C33CD2">
        <w:tc>
          <w:tcPr>
            <w:tcW w:w="3120" w:type="dxa"/>
          </w:tcPr>
          <w:p w14:paraId="5D202A16" w14:textId="06080EE7" w:rsidR="00D91DD5" w:rsidRPr="00D91DD5" w:rsidRDefault="00D91DD5" w:rsidP="00C33CD2">
            <w:pPr>
              <w:rPr>
                <w:sz w:val="20"/>
                <w:szCs w:val="20"/>
              </w:rPr>
            </w:pPr>
            <w:r w:rsidRPr="00D91DD5">
              <w:rPr>
                <w:sz w:val="20"/>
                <w:szCs w:val="20"/>
              </w:rPr>
              <w:t>Figure 2</w:t>
            </w:r>
            <w:r w:rsidR="00B8249D">
              <w:rPr>
                <w:sz w:val="20"/>
                <w:szCs w:val="20"/>
              </w:rPr>
              <w:t>5</w:t>
            </w:r>
          </w:p>
        </w:tc>
        <w:tc>
          <w:tcPr>
            <w:tcW w:w="3120" w:type="dxa"/>
          </w:tcPr>
          <w:p w14:paraId="35FB647F" w14:textId="39876394" w:rsidR="00D91DD5" w:rsidRPr="00D91DD5" w:rsidRDefault="00D91DD5" w:rsidP="00C33CD2">
            <w:pPr>
              <w:rPr>
                <w:sz w:val="20"/>
                <w:szCs w:val="20"/>
              </w:rPr>
            </w:pPr>
            <w:r w:rsidRPr="00D91DD5">
              <w:rPr>
                <w:sz w:val="20"/>
                <w:szCs w:val="20"/>
              </w:rPr>
              <w:t>Figure 2</w:t>
            </w:r>
            <w:r w:rsidR="00B8249D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</w:tcPr>
          <w:p w14:paraId="084B3DD9" w14:textId="4E4D626E" w:rsidR="00D91DD5" w:rsidRPr="00D91DD5" w:rsidRDefault="00D91DD5" w:rsidP="00C33CD2">
            <w:pPr>
              <w:rPr>
                <w:sz w:val="20"/>
                <w:szCs w:val="20"/>
              </w:rPr>
            </w:pPr>
            <w:r w:rsidRPr="00D91DD5">
              <w:rPr>
                <w:sz w:val="20"/>
                <w:szCs w:val="20"/>
              </w:rPr>
              <w:t>Figure 2</w:t>
            </w:r>
            <w:r w:rsidR="00B8249D">
              <w:rPr>
                <w:sz w:val="20"/>
                <w:szCs w:val="20"/>
              </w:rPr>
              <w:t>7</w:t>
            </w:r>
          </w:p>
        </w:tc>
      </w:tr>
      <w:tr w:rsidR="00D91DD5" w:rsidRPr="00B8249D" w14:paraId="238C6C36" w14:textId="77777777" w:rsidTr="00954D99">
        <w:tc>
          <w:tcPr>
            <w:tcW w:w="3120" w:type="dxa"/>
          </w:tcPr>
          <w:p w14:paraId="1611BB64" w14:textId="77777777" w:rsidR="00D91DD5" w:rsidRPr="00B8249D" w:rsidRDefault="00D91DD5" w:rsidP="00E509A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414EA074" w14:textId="77777777" w:rsidR="00D91DD5" w:rsidRPr="00B8249D" w:rsidRDefault="00D91DD5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006E53AB" w14:textId="77777777" w:rsidR="00D91DD5" w:rsidRPr="00B8249D" w:rsidRDefault="00D91DD5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E509AB" w14:paraId="540F8E79" w14:textId="77777777" w:rsidTr="00954D99"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E509AB" w:rsidRPr="00E509AB" w14:paraId="2966D110" w14:textId="77777777" w:rsidTr="00E509AB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854EB" w14:textId="0D03070D" w:rsidR="00E509AB" w:rsidRPr="00E509AB" w:rsidRDefault="00E065D3" w:rsidP="00E509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E509AB" w:rsidRPr="00E509A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EA3BE" w14:textId="77777777" w:rsidR="00E509AB" w:rsidRPr="00E509AB" w:rsidRDefault="00E509AB" w:rsidP="00E509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509A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CB133" w14:textId="77777777" w:rsidR="00E509AB" w:rsidRPr="00E509AB" w:rsidRDefault="00E509AB" w:rsidP="00E509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509A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E509AB" w:rsidRPr="00E509AB" w14:paraId="2EDF68B0" w14:textId="77777777" w:rsidTr="00E509AB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F1D10" w14:textId="77777777" w:rsidR="00E509AB" w:rsidRPr="00E509AB" w:rsidRDefault="00E509AB" w:rsidP="00E509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509A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5.7%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AEF3E" w14:textId="77777777" w:rsidR="00E509AB" w:rsidRPr="00E509AB" w:rsidRDefault="00E509AB" w:rsidP="00E509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509A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5.4%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8DDBC" w14:textId="77777777" w:rsidR="00E509AB" w:rsidRPr="00E509AB" w:rsidRDefault="00E509AB" w:rsidP="00E509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509A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-2.1%</w:t>
                  </w:r>
                </w:p>
              </w:tc>
            </w:tr>
            <w:tr w:rsidR="00E509AB" w:rsidRPr="00E509AB" w14:paraId="1E7E9313" w14:textId="77777777" w:rsidTr="00E509AB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BFF749" w14:textId="77777777" w:rsidR="00E509AB" w:rsidRPr="00E509AB" w:rsidRDefault="00E509AB" w:rsidP="00E509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509A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$52,248,006,000</w:t>
                  </w:r>
                </w:p>
              </w:tc>
            </w:tr>
          </w:tbl>
          <w:p w14:paraId="2507A4C7" w14:textId="77777777" w:rsidR="00E509AB" w:rsidRDefault="00E509AB" w:rsidP="000B3352"/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E647FD" w:rsidRPr="00E647FD" w14:paraId="2231B677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B6011" w14:textId="254AFD73" w:rsidR="00E647FD" w:rsidRPr="00E647FD" w:rsidRDefault="00E065D3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E647FD"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58E5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C3889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E647FD" w:rsidRPr="00E647FD" w14:paraId="17B74590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1ACC6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10.6%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E14F3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8.7%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69322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6.2%</w:t>
                  </w:r>
                </w:p>
              </w:tc>
            </w:tr>
            <w:tr w:rsidR="00E647FD" w:rsidRPr="00E647FD" w14:paraId="762161FD" w14:textId="77777777" w:rsidTr="00E647FD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F4605B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$49,961,427,000</w:t>
                  </w:r>
                </w:p>
              </w:tc>
            </w:tr>
          </w:tbl>
          <w:p w14:paraId="31491FFD" w14:textId="77777777" w:rsidR="00E509AB" w:rsidRDefault="00E509AB" w:rsidP="000B3352"/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E647FD" w:rsidRPr="00E647FD" w14:paraId="2113CDF6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E398C" w14:textId="1D331955" w:rsidR="00E647FD" w:rsidRPr="00E647FD" w:rsidRDefault="00E065D3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E647FD"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27FBD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B1AE7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E647FD" w:rsidRPr="00E647FD" w14:paraId="52CB162F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11922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17.9%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DDAC2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28.2%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E212B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15.7%</w:t>
                  </w:r>
                </w:p>
              </w:tc>
            </w:tr>
            <w:tr w:rsidR="00E647FD" w:rsidRPr="00E647FD" w14:paraId="3F6A02E3" w14:textId="77777777" w:rsidTr="00E647FD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1EDF51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$41,736,006,000</w:t>
                  </w:r>
                </w:p>
              </w:tc>
            </w:tr>
          </w:tbl>
          <w:p w14:paraId="5D5D0181" w14:textId="77777777" w:rsidR="00E509AB" w:rsidRDefault="00E509AB" w:rsidP="000B3352"/>
        </w:tc>
      </w:tr>
      <w:tr w:rsidR="003D1587" w:rsidRPr="00D91DD5" w14:paraId="27FFA91F" w14:textId="77777777" w:rsidTr="00954D99">
        <w:tc>
          <w:tcPr>
            <w:tcW w:w="3120" w:type="dxa"/>
          </w:tcPr>
          <w:p w14:paraId="73D9A546" w14:textId="664CE73F" w:rsidR="003D1587" w:rsidRPr="00D91DD5" w:rsidRDefault="003D1587" w:rsidP="003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D91DD5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20" w:type="dxa"/>
          </w:tcPr>
          <w:p w14:paraId="7FA66F27" w14:textId="35ADD546" w:rsidR="003D1587" w:rsidRPr="00D91DD5" w:rsidRDefault="003D1587" w:rsidP="003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D91DD5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</w:tcPr>
          <w:p w14:paraId="2F032DC5" w14:textId="4FCBC5A7" w:rsidR="003D1587" w:rsidRPr="00D91DD5" w:rsidRDefault="003D1587" w:rsidP="003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D91DD5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7</w:t>
            </w:r>
          </w:p>
        </w:tc>
      </w:tr>
    </w:tbl>
    <w:p w14:paraId="2E4B211F" w14:textId="3CD66D21" w:rsidR="00E509AB" w:rsidRPr="00B91DF3" w:rsidRDefault="00CC5091" w:rsidP="00FB1207">
      <w:pPr>
        <w:pStyle w:val="Seperator2"/>
      </w:pPr>
      <w:r w:rsidRPr="00B91DF3">
        <w:rPr>
          <w:rStyle w:val="Emphasis"/>
          <w:i/>
          <w:iCs/>
          <w:sz w:val="22"/>
          <w:szCs w:val="22"/>
        </w:rPr>
        <w:lastRenderedPageBreak/>
        <w:t>Line of Business Breakout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54D99" w14:paraId="0F10C1C8" w14:textId="77777777" w:rsidTr="00472834">
        <w:tc>
          <w:tcPr>
            <w:tcW w:w="3120" w:type="dxa"/>
          </w:tcPr>
          <w:p w14:paraId="457B4268" w14:textId="2A6BF508" w:rsidR="00954D99" w:rsidRDefault="006B5ABD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5471D60F" wp14:editId="11E3EE42">
                  <wp:extent cx="1828800" cy="1218348"/>
                  <wp:effectExtent l="0" t="0" r="0" b="127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8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24AF6C52" w14:textId="06073E53" w:rsidR="00954D99" w:rsidRDefault="006B5ABD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5C7169C2" wp14:editId="408095C6">
                  <wp:extent cx="1828800" cy="1215152"/>
                  <wp:effectExtent l="0" t="0" r="0" b="444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5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78DB45C6" w14:textId="549B7C95" w:rsidR="00954D99" w:rsidRPr="00954D99" w:rsidRDefault="006B5ABD" w:rsidP="00E647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0FF7EA" wp14:editId="6B3F3CA9">
                  <wp:extent cx="1828800" cy="1220481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0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DD5" w:rsidRPr="00D91DD5" w14:paraId="0B3087C7" w14:textId="77777777" w:rsidTr="00C33CD2">
        <w:tc>
          <w:tcPr>
            <w:tcW w:w="3120" w:type="dxa"/>
          </w:tcPr>
          <w:p w14:paraId="3B20A7A3" w14:textId="6FBDC88A" w:rsidR="00D91DD5" w:rsidRPr="00D91DD5" w:rsidRDefault="00D91DD5" w:rsidP="00C33CD2">
            <w:pPr>
              <w:rPr>
                <w:sz w:val="20"/>
                <w:szCs w:val="20"/>
              </w:rPr>
            </w:pPr>
            <w:r w:rsidRPr="00D91DD5">
              <w:rPr>
                <w:sz w:val="20"/>
                <w:szCs w:val="20"/>
              </w:rPr>
              <w:t>Figure 2</w:t>
            </w:r>
            <w:r w:rsidR="00D84509">
              <w:rPr>
                <w:sz w:val="20"/>
                <w:szCs w:val="20"/>
              </w:rPr>
              <w:t>9</w:t>
            </w:r>
          </w:p>
        </w:tc>
        <w:tc>
          <w:tcPr>
            <w:tcW w:w="3120" w:type="dxa"/>
          </w:tcPr>
          <w:p w14:paraId="6ECBE072" w14:textId="3336DD01" w:rsidR="00D91DD5" w:rsidRPr="00D91DD5" w:rsidRDefault="00D91DD5" w:rsidP="00C33CD2">
            <w:pPr>
              <w:rPr>
                <w:sz w:val="20"/>
                <w:szCs w:val="20"/>
              </w:rPr>
            </w:pPr>
            <w:r w:rsidRPr="00D91DD5">
              <w:rPr>
                <w:sz w:val="20"/>
                <w:szCs w:val="20"/>
              </w:rPr>
              <w:t xml:space="preserve">Figure </w:t>
            </w:r>
            <w:r w:rsidR="00D84509">
              <w:rPr>
                <w:sz w:val="20"/>
                <w:szCs w:val="20"/>
              </w:rPr>
              <w:t>30</w:t>
            </w:r>
          </w:p>
        </w:tc>
        <w:tc>
          <w:tcPr>
            <w:tcW w:w="3120" w:type="dxa"/>
          </w:tcPr>
          <w:p w14:paraId="1E6E5E9E" w14:textId="13743ED3" w:rsidR="00D91DD5" w:rsidRPr="00D91DD5" w:rsidRDefault="00D91DD5" w:rsidP="00C33CD2">
            <w:pPr>
              <w:rPr>
                <w:sz w:val="20"/>
                <w:szCs w:val="20"/>
              </w:rPr>
            </w:pPr>
            <w:r w:rsidRPr="00D91DD5">
              <w:rPr>
                <w:sz w:val="20"/>
                <w:szCs w:val="20"/>
              </w:rPr>
              <w:t xml:space="preserve">Figure </w:t>
            </w:r>
            <w:r w:rsidR="00D84509">
              <w:rPr>
                <w:sz w:val="20"/>
                <w:szCs w:val="20"/>
              </w:rPr>
              <w:t>31</w:t>
            </w:r>
          </w:p>
        </w:tc>
      </w:tr>
      <w:tr w:rsidR="00D91DD5" w:rsidRPr="00D84509" w14:paraId="01447A9E" w14:textId="77777777" w:rsidTr="00472834">
        <w:tc>
          <w:tcPr>
            <w:tcW w:w="3120" w:type="dxa"/>
          </w:tcPr>
          <w:p w14:paraId="6FCDB212" w14:textId="77777777" w:rsidR="00D91DD5" w:rsidRPr="00D84509" w:rsidRDefault="00D91DD5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41355DA4" w14:textId="77777777" w:rsidR="00D91DD5" w:rsidRPr="00D84509" w:rsidRDefault="00D91DD5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37563538" w14:textId="77777777" w:rsidR="00D91DD5" w:rsidRPr="00D84509" w:rsidRDefault="00D91DD5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E647FD" w14:paraId="0F46D872" w14:textId="77777777" w:rsidTr="00472834"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E647FD" w:rsidRPr="00E647FD" w14:paraId="71E254F4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F0159" w14:textId="3C46FEAC" w:rsidR="00E647FD" w:rsidRPr="00E647FD" w:rsidRDefault="00E065D3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E647FD"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358B9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F7D30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E647FD" w:rsidRPr="00E647FD" w14:paraId="38BE256C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20F87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23.6%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A5D54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14.2%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B043B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16.6%</w:t>
                  </w:r>
                </w:p>
              </w:tc>
            </w:tr>
            <w:tr w:rsidR="00E647FD" w:rsidRPr="00E647FD" w14:paraId="4E6B529E" w14:textId="77777777" w:rsidTr="00E647FD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AE7FD7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$38,995,822,000</w:t>
                  </w:r>
                </w:p>
              </w:tc>
            </w:tr>
          </w:tbl>
          <w:p w14:paraId="1559416B" w14:textId="77777777" w:rsidR="00E647FD" w:rsidRDefault="00E647FD" w:rsidP="000B3352"/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E647FD" w:rsidRPr="00E647FD" w14:paraId="39A18517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60CD8" w14:textId="74ACB07E" w:rsidR="00E647FD" w:rsidRPr="00E647FD" w:rsidRDefault="00E065D3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E647FD"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7979C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FE6AE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E647FD" w:rsidRPr="00E647FD" w14:paraId="3DFCBAC2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BA212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20.1%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5306F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19.8%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FC606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7.9%</w:t>
                  </w:r>
                </w:p>
              </w:tc>
            </w:tr>
            <w:tr w:rsidR="00E647FD" w:rsidRPr="00E647FD" w14:paraId="37303137" w14:textId="77777777" w:rsidTr="00E647FD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957181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$29,813,382,000</w:t>
                  </w:r>
                </w:p>
              </w:tc>
            </w:tr>
          </w:tbl>
          <w:p w14:paraId="1C2F5F0B" w14:textId="77777777" w:rsidR="00E647FD" w:rsidRDefault="00E647FD" w:rsidP="000B3352"/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E647FD" w:rsidRPr="00E647FD" w14:paraId="7B30E9FE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A0CF4" w14:textId="420F859B" w:rsidR="00E647FD" w:rsidRPr="00E647FD" w:rsidRDefault="00E065D3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E647FD"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FD5B2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5B441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E647FD" w:rsidRPr="00E647FD" w14:paraId="56DFA951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DA0F3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16.2%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43E81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14.9%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EA57E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10.3%</w:t>
                  </w:r>
                </w:p>
              </w:tc>
            </w:tr>
            <w:tr w:rsidR="00E647FD" w:rsidRPr="00E647FD" w14:paraId="13EBC9F5" w14:textId="77777777" w:rsidTr="00E647FD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6F5A65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$18,969,195,000</w:t>
                  </w:r>
                </w:p>
              </w:tc>
            </w:tr>
          </w:tbl>
          <w:p w14:paraId="605DF32C" w14:textId="77777777" w:rsidR="00E647FD" w:rsidRDefault="00E647FD" w:rsidP="000B3352"/>
        </w:tc>
      </w:tr>
      <w:tr w:rsidR="00D84509" w:rsidRPr="00D91DD5" w14:paraId="46711DAD" w14:textId="77777777" w:rsidTr="00472834">
        <w:tc>
          <w:tcPr>
            <w:tcW w:w="3120" w:type="dxa"/>
          </w:tcPr>
          <w:p w14:paraId="2BEA51C0" w14:textId="2B18FCC1" w:rsidR="00D84509" w:rsidRPr="00D91DD5" w:rsidRDefault="00D84509" w:rsidP="00D8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D91DD5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20" w:type="dxa"/>
          </w:tcPr>
          <w:p w14:paraId="574EFF67" w14:textId="760FB44C" w:rsidR="00D84509" w:rsidRPr="00D91DD5" w:rsidRDefault="00D84509" w:rsidP="00D8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D91D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120" w:type="dxa"/>
          </w:tcPr>
          <w:p w14:paraId="0CA8E54B" w14:textId="2648DB74" w:rsidR="00D84509" w:rsidRPr="00D91DD5" w:rsidRDefault="00D84509" w:rsidP="00D8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D91D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</w:p>
        </w:tc>
      </w:tr>
    </w:tbl>
    <w:p w14:paraId="68DEE3D0" w14:textId="134678DC" w:rsidR="00E647FD" w:rsidRPr="00B91DF3" w:rsidRDefault="00CC5091" w:rsidP="00FB1207">
      <w:pPr>
        <w:pStyle w:val="Seperator2"/>
      </w:pPr>
      <w:r w:rsidRPr="00B91DF3">
        <w:rPr>
          <w:rStyle w:val="Emphasis"/>
          <w:i/>
          <w:iCs/>
          <w:sz w:val="22"/>
          <w:szCs w:val="22"/>
        </w:rPr>
        <w:t>Line of Business Breakout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F1134" w:rsidRPr="004F1134" w14:paraId="3BFB0359" w14:textId="77777777" w:rsidTr="00C33CD2">
        <w:tc>
          <w:tcPr>
            <w:tcW w:w="3120" w:type="dxa"/>
          </w:tcPr>
          <w:p w14:paraId="120E1341" w14:textId="537AC5F4" w:rsidR="004F1134" w:rsidRPr="004F1134" w:rsidRDefault="006B5ABD" w:rsidP="004F113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04FB7F2" wp14:editId="7C1D8052">
                  <wp:extent cx="1828800" cy="1218348"/>
                  <wp:effectExtent l="0" t="0" r="0" b="127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8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410564D4" w14:textId="0B9FE319" w:rsidR="004F1134" w:rsidRPr="004F1134" w:rsidRDefault="006B5ABD" w:rsidP="00C33CD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A0C4C62" wp14:editId="6C276217">
                  <wp:extent cx="1828800" cy="1220481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0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06F9E60C" w14:textId="112A50CD" w:rsidR="004F1134" w:rsidRPr="004F1134" w:rsidRDefault="006B5ABD" w:rsidP="004F113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B324F7" wp14:editId="74FDC5B1">
                  <wp:extent cx="1828800" cy="1218348"/>
                  <wp:effectExtent l="0" t="0" r="0" b="127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8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34" w:rsidRPr="004F1134" w14:paraId="4008822F" w14:textId="77777777" w:rsidTr="00C33CD2">
        <w:tc>
          <w:tcPr>
            <w:tcW w:w="3120" w:type="dxa"/>
          </w:tcPr>
          <w:p w14:paraId="35AE1784" w14:textId="659AB79A" w:rsidR="004F1134" w:rsidRPr="004F1134" w:rsidRDefault="004F1134" w:rsidP="00C33CD2">
            <w:pPr>
              <w:rPr>
                <w:sz w:val="20"/>
                <w:szCs w:val="20"/>
              </w:rPr>
            </w:pPr>
            <w:r w:rsidRPr="004F1134">
              <w:rPr>
                <w:sz w:val="20"/>
                <w:szCs w:val="20"/>
              </w:rPr>
              <w:t xml:space="preserve">Figure </w:t>
            </w:r>
            <w:r w:rsidR="00D84509">
              <w:rPr>
                <w:sz w:val="20"/>
                <w:szCs w:val="20"/>
              </w:rPr>
              <w:t>32</w:t>
            </w:r>
          </w:p>
        </w:tc>
        <w:tc>
          <w:tcPr>
            <w:tcW w:w="3120" w:type="dxa"/>
          </w:tcPr>
          <w:p w14:paraId="72C8E38A" w14:textId="485EE89B" w:rsidR="004F1134" w:rsidRPr="004F1134" w:rsidRDefault="004F1134" w:rsidP="00C33CD2">
            <w:pPr>
              <w:rPr>
                <w:sz w:val="20"/>
                <w:szCs w:val="20"/>
              </w:rPr>
            </w:pPr>
            <w:r w:rsidRPr="004F1134">
              <w:rPr>
                <w:sz w:val="20"/>
                <w:szCs w:val="20"/>
              </w:rPr>
              <w:t>Figure 3</w:t>
            </w:r>
            <w:r w:rsidR="00D84509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14:paraId="1FCE1501" w14:textId="78FF8B60" w:rsidR="004F1134" w:rsidRPr="004F1134" w:rsidRDefault="004F1134" w:rsidP="00C33CD2">
            <w:pPr>
              <w:rPr>
                <w:sz w:val="20"/>
                <w:szCs w:val="20"/>
              </w:rPr>
            </w:pPr>
            <w:r w:rsidRPr="004F1134">
              <w:rPr>
                <w:sz w:val="20"/>
                <w:szCs w:val="20"/>
              </w:rPr>
              <w:t xml:space="preserve">Figure </w:t>
            </w:r>
            <w:r w:rsidR="00D84509">
              <w:rPr>
                <w:sz w:val="20"/>
                <w:szCs w:val="20"/>
              </w:rPr>
              <w:t>34</w:t>
            </w:r>
          </w:p>
        </w:tc>
      </w:tr>
      <w:tr w:rsidR="004F1134" w14:paraId="7DF40706" w14:textId="77777777" w:rsidTr="008961D8">
        <w:tc>
          <w:tcPr>
            <w:tcW w:w="3120" w:type="dxa"/>
          </w:tcPr>
          <w:p w14:paraId="6D685E35" w14:textId="77777777" w:rsidR="004F1134" w:rsidRDefault="004F1134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14:paraId="57F31715" w14:textId="77777777" w:rsidR="004F1134" w:rsidRDefault="004F1134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14:paraId="23C955F9" w14:textId="77777777" w:rsidR="004F1134" w:rsidRDefault="004F1134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647FD" w14:paraId="1DCCD749" w14:textId="77777777" w:rsidTr="008961D8"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E647FD" w:rsidRPr="00E647FD" w14:paraId="1F35E3A5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69314" w14:textId="4ADC26E9" w:rsidR="00E647FD" w:rsidRPr="00E647FD" w:rsidRDefault="00E065D3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E647FD"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54ECB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C8421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E647FD" w:rsidRPr="00E647FD" w14:paraId="6382A95B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AFBF1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5.2%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045F0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8.9%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7C58F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5.5%</w:t>
                  </w:r>
                </w:p>
              </w:tc>
            </w:tr>
            <w:tr w:rsidR="00E647FD" w:rsidRPr="00E647FD" w14:paraId="163810B0" w14:textId="77777777" w:rsidTr="00E647FD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A800EB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$11,200,292,000</w:t>
                  </w:r>
                </w:p>
              </w:tc>
            </w:tr>
          </w:tbl>
          <w:p w14:paraId="3D50B8AE" w14:textId="77777777" w:rsidR="00E647FD" w:rsidRDefault="00E647FD" w:rsidP="000B3352"/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E647FD" w:rsidRPr="00E647FD" w14:paraId="374F9BF5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792B5" w14:textId="1E649414" w:rsidR="00E647FD" w:rsidRPr="00E647FD" w:rsidRDefault="00E065D3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E647FD"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3EA6B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4DB58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E647FD" w:rsidRPr="00E647FD" w14:paraId="4E8EAE31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EC971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18.8%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2B9D0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11.7%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F1829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7.3%</w:t>
                  </w:r>
                </w:p>
              </w:tc>
            </w:tr>
            <w:tr w:rsidR="00E647FD" w:rsidRPr="00E647FD" w14:paraId="47B3AAF3" w14:textId="77777777" w:rsidTr="00E647FD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BD6AB6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$7,438,276,000</w:t>
                  </w:r>
                </w:p>
              </w:tc>
            </w:tr>
          </w:tbl>
          <w:p w14:paraId="5CC9BF6E" w14:textId="77777777" w:rsidR="00E647FD" w:rsidRDefault="00E647FD" w:rsidP="000B3352"/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E647FD" w:rsidRPr="00E647FD" w14:paraId="49BB2313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ECAF9" w14:textId="739FB954" w:rsidR="00E647FD" w:rsidRPr="00E647FD" w:rsidRDefault="00E065D3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E647FD"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DA758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9C299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E647FD" w:rsidRPr="00E647FD" w14:paraId="30927381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D7249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8.5%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620F3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6.3%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B0097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4.7%</w:t>
                  </w:r>
                </w:p>
              </w:tc>
            </w:tr>
            <w:tr w:rsidR="00E647FD" w:rsidRPr="00E647FD" w14:paraId="47D29721" w14:textId="77777777" w:rsidTr="00E647FD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65DCBF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$4,979,524,000</w:t>
                  </w:r>
                </w:p>
              </w:tc>
            </w:tr>
          </w:tbl>
          <w:p w14:paraId="42C1BF18" w14:textId="77777777" w:rsidR="00E647FD" w:rsidRDefault="00E647FD" w:rsidP="000B3352"/>
        </w:tc>
      </w:tr>
      <w:tr w:rsidR="00D84509" w:rsidRPr="004F1134" w14:paraId="584E8B01" w14:textId="77777777" w:rsidTr="008961D8">
        <w:tc>
          <w:tcPr>
            <w:tcW w:w="3120" w:type="dxa"/>
          </w:tcPr>
          <w:p w14:paraId="566BBDA5" w14:textId="6746BB24" w:rsidR="00D84509" w:rsidRPr="004F1134" w:rsidRDefault="00D84509" w:rsidP="00D8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4F11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3120" w:type="dxa"/>
          </w:tcPr>
          <w:p w14:paraId="7E5750A2" w14:textId="7D8D54A5" w:rsidR="00D84509" w:rsidRPr="004F1134" w:rsidRDefault="00D84509" w:rsidP="00D8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4F1134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14:paraId="76BD540E" w14:textId="29FEB05D" w:rsidR="00D84509" w:rsidRPr="004F1134" w:rsidRDefault="00D84509" w:rsidP="00D8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4F11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</w:p>
        </w:tc>
      </w:tr>
    </w:tbl>
    <w:p w14:paraId="67B8F142" w14:textId="77777777" w:rsidR="00CC5091" w:rsidRPr="00B91DF3" w:rsidRDefault="00CC5091" w:rsidP="00FB1207">
      <w:pPr>
        <w:pStyle w:val="Seperator2"/>
      </w:pPr>
      <w:r w:rsidRPr="00B91DF3">
        <w:rPr>
          <w:rStyle w:val="Emphasis"/>
          <w:i/>
          <w:iCs/>
          <w:sz w:val="22"/>
          <w:szCs w:val="22"/>
        </w:rPr>
        <w:t>Line of Business Breakout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961D8" w14:paraId="7C7FB918" w14:textId="77777777" w:rsidTr="008961D8">
        <w:tc>
          <w:tcPr>
            <w:tcW w:w="3120" w:type="dxa"/>
          </w:tcPr>
          <w:p w14:paraId="1C0C4FAC" w14:textId="45CDAFD9" w:rsidR="008961D8" w:rsidRDefault="006B5ABD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7C362900" wp14:editId="4AC4FC15">
                  <wp:extent cx="1828800" cy="1221224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1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1F5947A3" w14:textId="2080D405" w:rsidR="008961D8" w:rsidRDefault="006B5ABD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32DBAABA" wp14:editId="2C0EC0B4">
                  <wp:extent cx="1828800" cy="1218348"/>
                  <wp:effectExtent l="0" t="0" r="0" b="127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8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3F1DFD00" w14:textId="111B1762" w:rsidR="008961D8" w:rsidRDefault="006B5ABD" w:rsidP="00A52A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40D586BF" wp14:editId="1FBD8B5B">
                  <wp:extent cx="1828800" cy="1223362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3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34" w:rsidRPr="004F1134" w14:paraId="60C83E6E" w14:textId="77777777" w:rsidTr="00C33CD2">
        <w:tc>
          <w:tcPr>
            <w:tcW w:w="3120" w:type="dxa"/>
          </w:tcPr>
          <w:p w14:paraId="48B9C033" w14:textId="314450E7" w:rsidR="004F1134" w:rsidRPr="004F1134" w:rsidRDefault="004F1134" w:rsidP="00C33CD2">
            <w:pPr>
              <w:rPr>
                <w:sz w:val="20"/>
                <w:szCs w:val="20"/>
              </w:rPr>
            </w:pPr>
            <w:r w:rsidRPr="004F1134">
              <w:rPr>
                <w:sz w:val="20"/>
                <w:szCs w:val="20"/>
              </w:rPr>
              <w:t>Figure 3</w:t>
            </w:r>
            <w:r w:rsidR="003D249C">
              <w:rPr>
                <w:sz w:val="20"/>
                <w:szCs w:val="20"/>
              </w:rPr>
              <w:t>5</w:t>
            </w:r>
          </w:p>
        </w:tc>
        <w:tc>
          <w:tcPr>
            <w:tcW w:w="3120" w:type="dxa"/>
          </w:tcPr>
          <w:p w14:paraId="190F46C3" w14:textId="103EAAFB" w:rsidR="004F1134" w:rsidRPr="004F1134" w:rsidRDefault="004F1134" w:rsidP="00C33CD2">
            <w:pPr>
              <w:rPr>
                <w:sz w:val="20"/>
                <w:szCs w:val="20"/>
              </w:rPr>
            </w:pPr>
            <w:r w:rsidRPr="004F1134">
              <w:rPr>
                <w:sz w:val="20"/>
                <w:szCs w:val="20"/>
              </w:rPr>
              <w:t>Figure 3</w:t>
            </w:r>
            <w:r w:rsidR="003D249C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</w:tcPr>
          <w:p w14:paraId="7A1A5F55" w14:textId="17255B6F" w:rsidR="004F1134" w:rsidRPr="004F1134" w:rsidRDefault="004F1134" w:rsidP="00C33CD2">
            <w:pPr>
              <w:rPr>
                <w:sz w:val="20"/>
                <w:szCs w:val="20"/>
              </w:rPr>
            </w:pPr>
            <w:r w:rsidRPr="004F1134">
              <w:rPr>
                <w:sz w:val="20"/>
                <w:szCs w:val="20"/>
              </w:rPr>
              <w:t>Figure 3</w:t>
            </w:r>
            <w:r w:rsidR="003D249C">
              <w:rPr>
                <w:sz w:val="20"/>
                <w:szCs w:val="20"/>
              </w:rPr>
              <w:t>7</w:t>
            </w:r>
          </w:p>
        </w:tc>
      </w:tr>
      <w:tr w:rsidR="004F1134" w:rsidRPr="003D249C" w14:paraId="0735562D" w14:textId="77777777" w:rsidTr="008961D8">
        <w:tc>
          <w:tcPr>
            <w:tcW w:w="3120" w:type="dxa"/>
          </w:tcPr>
          <w:p w14:paraId="75F5650E" w14:textId="77777777" w:rsidR="004F1134" w:rsidRPr="003D249C" w:rsidRDefault="004F1134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6232BDE3" w14:textId="77777777" w:rsidR="004F1134" w:rsidRPr="003D249C" w:rsidRDefault="004F1134" w:rsidP="00E647F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4FABA713" w14:textId="77777777" w:rsidR="004F1134" w:rsidRPr="003D249C" w:rsidRDefault="004F1134" w:rsidP="00A52A8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E647FD" w14:paraId="123A2D11" w14:textId="77777777" w:rsidTr="008961D8"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E647FD" w:rsidRPr="00E647FD" w14:paraId="18F455BA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899DE" w14:textId="5DE9E845" w:rsidR="00E647FD" w:rsidRPr="00E647FD" w:rsidRDefault="00E065D3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E647FD"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398F7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001DD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E647FD" w:rsidRPr="00E647FD" w14:paraId="371748A5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97D42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3.5%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7521F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7.2%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666EB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9.9%</w:t>
                  </w:r>
                </w:p>
              </w:tc>
            </w:tr>
            <w:tr w:rsidR="00E647FD" w:rsidRPr="00E647FD" w14:paraId="366BA9CF" w14:textId="77777777" w:rsidTr="00E647FD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4AC4C6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$4,775,751,000</w:t>
                  </w:r>
                </w:p>
              </w:tc>
            </w:tr>
          </w:tbl>
          <w:p w14:paraId="6D31C835" w14:textId="77777777" w:rsidR="00E647FD" w:rsidRDefault="00E647FD" w:rsidP="000B3352"/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E647FD" w:rsidRPr="00E647FD" w14:paraId="6489D0A7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9CDDC" w14:textId="348A8B7D" w:rsidR="00E647FD" w:rsidRPr="00E647FD" w:rsidRDefault="00E065D3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E647FD"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B33B0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A9459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E647FD" w:rsidRPr="00E647FD" w14:paraId="2BE395DE" w14:textId="77777777" w:rsidTr="00E647FD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68AF6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6.0%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DAF3E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12.8%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8E059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5.4%</w:t>
                  </w:r>
                </w:p>
              </w:tc>
            </w:tr>
            <w:tr w:rsidR="00E647FD" w:rsidRPr="00E647FD" w14:paraId="76ACAB1C" w14:textId="77777777" w:rsidTr="00E647FD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F92FD4" w14:textId="77777777" w:rsidR="00E647FD" w:rsidRPr="00E647FD" w:rsidRDefault="00E647FD" w:rsidP="00E64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647F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$4,653,092,000</w:t>
                  </w:r>
                </w:p>
              </w:tc>
            </w:tr>
          </w:tbl>
          <w:p w14:paraId="29DA993C" w14:textId="77777777" w:rsidR="00E647FD" w:rsidRDefault="00E647FD" w:rsidP="000B3352"/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A52A85" w:rsidRPr="00A52A85" w14:paraId="6F41C37E" w14:textId="77777777" w:rsidTr="00A52A85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4BE59" w14:textId="02E728E4" w:rsidR="00A52A85" w:rsidRPr="00A52A85" w:rsidRDefault="00E065D3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A52A85"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72B29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F7AAB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A52A85" w:rsidRPr="00A52A85" w14:paraId="792325BA" w14:textId="77777777" w:rsidTr="00A52A85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59CA7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15.0%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79175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8.4%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3E05E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6.0%</w:t>
                  </w:r>
                </w:p>
              </w:tc>
            </w:tr>
            <w:tr w:rsidR="00A52A85" w:rsidRPr="00A52A85" w14:paraId="303DD956" w14:textId="77777777" w:rsidTr="00A52A85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6B3785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$4,425,492,000</w:t>
                  </w:r>
                </w:p>
              </w:tc>
            </w:tr>
          </w:tbl>
          <w:p w14:paraId="42354F90" w14:textId="77777777" w:rsidR="00E647FD" w:rsidRDefault="00E647FD" w:rsidP="000B3352"/>
        </w:tc>
      </w:tr>
      <w:tr w:rsidR="003D249C" w:rsidRPr="004F1134" w14:paraId="6365D435" w14:textId="77777777" w:rsidTr="008961D8">
        <w:tc>
          <w:tcPr>
            <w:tcW w:w="3120" w:type="dxa"/>
          </w:tcPr>
          <w:p w14:paraId="5CDFB247" w14:textId="4AD1F3CE" w:rsidR="003D249C" w:rsidRPr="004F1134" w:rsidRDefault="003D249C" w:rsidP="003D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4F1134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20" w:type="dxa"/>
          </w:tcPr>
          <w:p w14:paraId="0CC7241D" w14:textId="06D8FC05" w:rsidR="003D249C" w:rsidRPr="004F1134" w:rsidRDefault="003D249C" w:rsidP="003D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4F1134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</w:tcPr>
          <w:p w14:paraId="4EC1299A" w14:textId="03853CC9" w:rsidR="003D249C" w:rsidRPr="004F1134" w:rsidRDefault="003D249C" w:rsidP="003D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4F1134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7</w:t>
            </w:r>
          </w:p>
        </w:tc>
      </w:tr>
    </w:tbl>
    <w:p w14:paraId="544255FC" w14:textId="4C263488" w:rsidR="00E647FD" w:rsidRPr="00B91DF3" w:rsidRDefault="00FB1207" w:rsidP="006B3173">
      <w:pPr>
        <w:pStyle w:val="Seperator2"/>
      </w:pPr>
      <w:r>
        <w:rPr>
          <w:rStyle w:val="Emphasis"/>
          <w:i/>
          <w:iCs/>
          <w:sz w:val="22"/>
          <w:szCs w:val="22"/>
        </w:rPr>
        <w:br w:type="page"/>
      </w:r>
      <w:r w:rsidR="00CE1375" w:rsidRPr="00B91DF3">
        <w:rPr>
          <w:rStyle w:val="Emphasis"/>
          <w:i/>
          <w:iCs/>
          <w:sz w:val="22"/>
          <w:szCs w:val="22"/>
        </w:rPr>
        <w:lastRenderedPageBreak/>
        <w:t>Line of Business Breakout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961D8" w14:paraId="41E088DE" w14:textId="77777777" w:rsidTr="008961D8">
        <w:tc>
          <w:tcPr>
            <w:tcW w:w="3120" w:type="dxa"/>
          </w:tcPr>
          <w:p w14:paraId="74FABCBF" w14:textId="38BC79A0" w:rsidR="008961D8" w:rsidRDefault="006B5ABD" w:rsidP="00A52A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29C10C61" wp14:editId="2D247FD8">
                  <wp:extent cx="1828800" cy="1218348"/>
                  <wp:effectExtent l="0" t="0" r="0" b="127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8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5227EBE3" w14:textId="5645759A" w:rsidR="008961D8" w:rsidRDefault="006B5ABD" w:rsidP="00A52A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7FACD23B" wp14:editId="1D1BD200">
                  <wp:extent cx="1828800" cy="1220481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0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60915115" w14:textId="2A92BB50" w:rsidR="008961D8" w:rsidRDefault="006B5ABD" w:rsidP="00A52A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3DB53AD6" wp14:editId="573A7803">
                  <wp:extent cx="1828800" cy="1218348"/>
                  <wp:effectExtent l="0" t="0" r="0" b="127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8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34" w:rsidRPr="004F1134" w14:paraId="4449F3B2" w14:textId="77777777" w:rsidTr="00C33CD2">
        <w:tc>
          <w:tcPr>
            <w:tcW w:w="3120" w:type="dxa"/>
          </w:tcPr>
          <w:p w14:paraId="3802C415" w14:textId="01BD3CF0" w:rsidR="004F1134" w:rsidRPr="004F1134" w:rsidRDefault="004F1134" w:rsidP="00C33CD2">
            <w:pPr>
              <w:rPr>
                <w:sz w:val="20"/>
                <w:szCs w:val="20"/>
              </w:rPr>
            </w:pPr>
            <w:r w:rsidRPr="004F1134">
              <w:rPr>
                <w:sz w:val="20"/>
                <w:szCs w:val="20"/>
              </w:rPr>
              <w:t>Figure 3</w:t>
            </w:r>
            <w:r w:rsidR="003D249C">
              <w:rPr>
                <w:sz w:val="20"/>
                <w:szCs w:val="20"/>
              </w:rPr>
              <w:t>8</w:t>
            </w:r>
          </w:p>
        </w:tc>
        <w:tc>
          <w:tcPr>
            <w:tcW w:w="3120" w:type="dxa"/>
          </w:tcPr>
          <w:p w14:paraId="5D29305B" w14:textId="3F109D05" w:rsidR="004F1134" w:rsidRPr="004F1134" w:rsidRDefault="004F1134" w:rsidP="00C33CD2">
            <w:pPr>
              <w:rPr>
                <w:sz w:val="20"/>
                <w:szCs w:val="20"/>
              </w:rPr>
            </w:pPr>
            <w:r w:rsidRPr="004F1134">
              <w:rPr>
                <w:sz w:val="20"/>
                <w:szCs w:val="20"/>
              </w:rPr>
              <w:t>Figure 3</w:t>
            </w:r>
            <w:r w:rsidR="003D249C">
              <w:rPr>
                <w:sz w:val="20"/>
                <w:szCs w:val="20"/>
              </w:rPr>
              <w:t>9</w:t>
            </w:r>
          </w:p>
        </w:tc>
        <w:tc>
          <w:tcPr>
            <w:tcW w:w="3120" w:type="dxa"/>
          </w:tcPr>
          <w:p w14:paraId="10310999" w14:textId="617C9621" w:rsidR="004F1134" w:rsidRPr="004F1134" w:rsidRDefault="004F1134" w:rsidP="00C33CD2">
            <w:pPr>
              <w:rPr>
                <w:sz w:val="20"/>
                <w:szCs w:val="20"/>
              </w:rPr>
            </w:pPr>
            <w:r w:rsidRPr="004F1134">
              <w:rPr>
                <w:sz w:val="20"/>
                <w:szCs w:val="20"/>
              </w:rPr>
              <w:t xml:space="preserve">Figure </w:t>
            </w:r>
            <w:r w:rsidR="003D249C">
              <w:rPr>
                <w:sz w:val="20"/>
                <w:szCs w:val="20"/>
              </w:rPr>
              <w:t>40</w:t>
            </w:r>
          </w:p>
        </w:tc>
      </w:tr>
      <w:tr w:rsidR="004F1134" w:rsidRPr="003D249C" w14:paraId="34E141E3" w14:textId="77777777" w:rsidTr="008961D8">
        <w:tc>
          <w:tcPr>
            <w:tcW w:w="3120" w:type="dxa"/>
          </w:tcPr>
          <w:p w14:paraId="6F46FCB3" w14:textId="77777777" w:rsidR="004F1134" w:rsidRPr="003D249C" w:rsidRDefault="004F1134" w:rsidP="00A52A8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11593F3D" w14:textId="77777777" w:rsidR="004F1134" w:rsidRPr="003D249C" w:rsidRDefault="004F1134" w:rsidP="00A52A8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27DBC354" w14:textId="77777777" w:rsidR="004F1134" w:rsidRPr="003D249C" w:rsidRDefault="004F1134" w:rsidP="00A52A8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52A85" w14:paraId="682F0F12" w14:textId="77777777" w:rsidTr="008961D8"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A52A85" w:rsidRPr="00A52A85" w14:paraId="296AC73D" w14:textId="77777777" w:rsidTr="00A52A85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31C7C" w14:textId="0C8E800D" w:rsidR="00A52A85" w:rsidRPr="00A52A85" w:rsidRDefault="00E065D3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A52A85"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86CE1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5D78C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A52A85" w:rsidRPr="00A52A85" w14:paraId="521DC183" w14:textId="77777777" w:rsidTr="00A52A85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A3D8B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11.1%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7A177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11.8%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A0CE7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14.3%</w:t>
                  </w:r>
                </w:p>
              </w:tc>
            </w:tr>
            <w:tr w:rsidR="00A52A85" w:rsidRPr="00A52A85" w14:paraId="385A51DB" w14:textId="77777777" w:rsidTr="00A52A85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959AA3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$2,530,476,000</w:t>
                  </w:r>
                </w:p>
              </w:tc>
            </w:tr>
          </w:tbl>
          <w:p w14:paraId="7F90C3D9" w14:textId="77777777" w:rsidR="00A52A85" w:rsidRDefault="00A52A85" w:rsidP="000B3352"/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A52A85" w:rsidRPr="00A52A85" w14:paraId="7249E501" w14:textId="77777777" w:rsidTr="00A52A85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68CF0" w14:textId="5F905437" w:rsidR="00A52A85" w:rsidRPr="00A52A85" w:rsidRDefault="00E065D3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A52A85"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9A71C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CA16F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A52A85" w:rsidRPr="00A52A85" w14:paraId="537CBB9E" w14:textId="77777777" w:rsidTr="00A52A85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354B9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6.7%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5EC57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10.4%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882BF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5.8%</w:t>
                  </w:r>
                </w:p>
              </w:tc>
            </w:tr>
            <w:tr w:rsidR="00A52A85" w:rsidRPr="00A52A85" w14:paraId="0C236B2C" w14:textId="77777777" w:rsidTr="00A52A85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367B41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$2,392,002,000</w:t>
                  </w:r>
                </w:p>
              </w:tc>
            </w:tr>
          </w:tbl>
          <w:p w14:paraId="6FB65A88" w14:textId="77777777" w:rsidR="00A52A85" w:rsidRDefault="00A52A85" w:rsidP="000B3352"/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A52A85" w:rsidRPr="00A52A85" w14:paraId="613204DE" w14:textId="77777777" w:rsidTr="00A52A85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4C377" w14:textId="560973F9" w:rsidR="00A52A85" w:rsidRPr="00A52A85" w:rsidRDefault="00E065D3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A52A85"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B8E64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243DB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A52A85" w:rsidRPr="00A52A85" w14:paraId="039B1127" w14:textId="77777777" w:rsidTr="00A52A85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1B075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7.6%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B635B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8.0%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F4E48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4.5%</w:t>
                  </w:r>
                </w:p>
              </w:tc>
            </w:tr>
            <w:tr w:rsidR="00A52A85" w:rsidRPr="00A52A85" w14:paraId="3052E94E" w14:textId="77777777" w:rsidTr="00A52A85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EDB558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$1,421,935,000</w:t>
                  </w:r>
                </w:p>
              </w:tc>
            </w:tr>
          </w:tbl>
          <w:p w14:paraId="41BC199A" w14:textId="77777777" w:rsidR="00A52A85" w:rsidRDefault="00A52A85" w:rsidP="000B3352"/>
        </w:tc>
      </w:tr>
      <w:tr w:rsidR="003D249C" w:rsidRPr="004F1134" w14:paraId="6D814C41" w14:textId="77777777" w:rsidTr="008961D8">
        <w:tc>
          <w:tcPr>
            <w:tcW w:w="3120" w:type="dxa"/>
          </w:tcPr>
          <w:p w14:paraId="7062157B" w14:textId="4F0BEF8E" w:rsidR="003D249C" w:rsidRPr="004F1134" w:rsidRDefault="003D249C" w:rsidP="003D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4F1134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20" w:type="dxa"/>
          </w:tcPr>
          <w:p w14:paraId="7DDEF7C1" w14:textId="3A1DB58B" w:rsidR="003D249C" w:rsidRPr="004F1134" w:rsidRDefault="003D249C" w:rsidP="003D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4F1134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20" w:type="dxa"/>
          </w:tcPr>
          <w:p w14:paraId="6DD3B2DA" w14:textId="10C7CBCC" w:rsidR="003D249C" w:rsidRPr="004F1134" w:rsidRDefault="003D249C" w:rsidP="003D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4F11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</w:p>
        </w:tc>
      </w:tr>
    </w:tbl>
    <w:p w14:paraId="033B3719" w14:textId="77777777" w:rsidR="00CE1375" w:rsidRPr="00B91DF3" w:rsidRDefault="00CE1375" w:rsidP="00FB1207">
      <w:pPr>
        <w:pStyle w:val="Seperator2"/>
      </w:pPr>
      <w:r w:rsidRPr="00B91DF3">
        <w:rPr>
          <w:rStyle w:val="Emphasis"/>
          <w:i/>
          <w:iCs/>
          <w:sz w:val="22"/>
          <w:szCs w:val="22"/>
        </w:rPr>
        <w:t>Line of Business Breakout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961D8" w14:paraId="466F690F" w14:textId="77777777" w:rsidTr="00CE1375">
        <w:tc>
          <w:tcPr>
            <w:tcW w:w="3120" w:type="dxa"/>
          </w:tcPr>
          <w:p w14:paraId="0A9C8AAF" w14:textId="7DF8E211" w:rsidR="008961D8" w:rsidRDefault="006B5ABD" w:rsidP="00A52A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67DAF9AC" wp14:editId="04FA1F79">
                  <wp:extent cx="1828800" cy="1223362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3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328120E2" w14:textId="4F2D38B4" w:rsidR="008961D8" w:rsidRDefault="006B5ABD" w:rsidP="00A52A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3C02680B" wp14:editId="0F6F5D71">
                  <wp:extent cx="1828800" cy="1218348"/>
                  <wp:effectExtent l="0" t="0" r="0" b="127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8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1ED7589E" w14:textId="1A4FBF45" w:rsidR="008961D8" w:rsidRDefault="006B5ABD" w:rsidP="00A52A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25DC5102" wp14:editId="66C1C8FF">
                  <wp:extent cx="1828800" cy="1223362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3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34" w:rsidRPr="004F1134" w14:paraId="73936558" w14:textId="77777777" w:rsidTr="00C33CD2">
        <w:tc>
          <w:tcPr>
            <w:tcW w:w="3120" w:type="dxa"/>
          </w:tcPr>
          <w:p w14:paraId="73FE2E0A" w14:textId="4D4D4303" w:rsidR="004F1134" w:rsidRPr="004F1134" w:rsidRDefault="004F1134" w:rsidP="00C33CD2">
            <w:pPr>
              <w:rPr>
                <w:sz w:val="20"/>
                <w:szCs w:val="20"/>
              </w:rPr>
            </w:pPr>
            <w:r w:rsidRPr="004F1134">
              <w:rPr>
                <w:sz w:val="20"/>
                <w:szCs w:val="20"/>
              </w:rPr>
              <w:t xml:space="preserve">Figure </w:t>
            </w:r>
            <w:r w:rsidR="003D249C">
              <w:rPr>
                <w:sz w:val="20"/>
                <w:szCs w:val="20"/>
              </w:rPr>
              <w:t>41</w:t>
            </w:r>
          </w:p>
        </w:tc>
        <w:tc>
          <w:tcPr>
            <w:tcW w:w="3120" w:type="dxa"/>
          </w:tcPr>
          <w:p w14:paraId="79393D06" w14:textId="67DFE543" w:rsidR="004F1134" w:rsidRPr="004F1134" w:rsidRDefault="004F1134" w:rsidP="00C33CD2">
            <w:pPr>
              <w:rPr>
                <w:sz w:val="20"/>
                <w:szCs w:val="20"/>
              </w:rPr>
            </w:pPr>
            <w:r w:rsidRPr="004F1134">
              <w:rPr>
                <w:sz w:val="20"/>
                <w:szCs w:val="20"/>
              </w:rPr>
              <w:t xml:space="preserve">Figure </w:t>
            </w:r>
            <w:r w:rsidR="003D249C">
              <w:rPr>
                <w:sz w:val="20"/>
                <w:szCs w:val="20"/>
              </w:rPr>
              <w:t>42</w:t>
            </w:r>
          </w:p>
        </w:tc>
        <w:tc>
          <w:tcPr>
            <w:tcW w:w="3120" w:type="dxa"/>
          </w:tcPr>
          <w:p w14:paraId="23E71813" w14:textId="2F4968C6" w:rsidR="004F1134" w:rsidRPr="004F1134" w:rsidRDefault="004F1134" w:rsidP="00C33CD2">
            <w:pPr>
              <w:rPr>
                <w:sz w:val="20"/>
                <w:szCs w:val="20"/>
              </w:rPr>
            </w:pPr>
            <w:r w:rsidRPr="004F1134">
              <w:rPr>
                <w:sz w:val="20"/>
                <w:szCs w:val="20"/>
              </w:rPr>
              <w:t xml:space="preserve">Figure </w:t>
            </w:r>
            <w:r w:rsidR="003D249C">
              <w:rPr>
                <w:sz w:val="20"/>
                <w:szCs w:val="20"/>
              </w:rPr>
              <w:t>43</w:t>
            </w:r>
          </w:p>
        </w:tc>
      </w:tr>
      <w:tr w:rsidR="004F1134" w:rsidRPr="003D249C" w14:paraId="28835AF3" w14:textId="77777777" w:rsidTr="00CE1375">
        <w:tc>
          <w:tcPr>
            <w:tcW w:w="3120" w:type="dxa"/>
          </w:tcPr>
          <w:p w14:paraId="1CD17461" w14:textId="77777777" w:rsidR="004F1134" w:rsidRPr="003D249C" w:rsidRDefault="004F1134" w:rsidP="00A52A8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2A6A7F49" w14:textId="77777777" w:rsidR="004F1134" w:rsidRPr="003D249C" w:rsidRDefault="004F1134" w:rsidP="00A52A8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20" w:type="dxa"/>
          </w:tcPr>
          <w:p w14:paraId="52A1E963" w14:textId="77777777" w:rsidR="004F1134" w:rsidRPr="003D249C" w:rsidRDefault="004F1134" w:rsidP="00A52A8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52A85" w14:paraId="227650CE" w14:textId="77777777" w:rsidTr="00CE1375"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A52A85" w:rsidRPr="00A52A85" w14:paraId="0FDB1013" w14:textId="77777777" w:rsidTr="00A52A85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5381D" w14:textId="14D47C43" w:rsidR="00A52A85" w:rsidRPr="00A52A85" w:rsidRDefault="00E065D3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A52A85"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65D45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4E467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A52A85" w:rsidRPr="00A52A85" w14:paraId="25A8AEA4" w14:textId="77777777" w:rsidTr="00A52A85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45568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-19.3%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D72F0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-5.5%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F3A34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-4.4%</w:t>
                  </w:r>
                </w:p>
              </w:tc>
            </w:tr>
            <w:tr w:rsidR="00A52A85" w:rsidRPr="00A52A85" w14:paraId="6D046881" w14:textId="77777777" w:rsidTr="00A52A85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408392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$1,313,620,000</w:t>
                  </w:r>
                </w:p>
              </w:tc>
            </w:tr>
          </w:tbl>
          <w:p w14:paraId="284B41BA" w14:textId="77777777" w:rsidR="00A52A85" w:rsidRDefault="00A52A85" w:rsidP="000B3352"/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A52A85" w:rsidRPr="00A52A85" w14:paraId="507EEEAB" w14:textId="77777777" w:rsidTr="00A52A85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78DB2" w14:textId="6ED0ECA5" w:rsidR="00A52A85" w:rsidRPr="00A52A85" w:rsidRDefault="00E065D3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A52A85"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3DA7A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15B0E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A52A85" w:rsidRPr="00A52A85" w14:paraId="3673065B" w14:textId="77777777" w:rsidTr="00A52A85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6F402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24.4%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BBB0F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14.2%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3E91F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15.5%</w:t>
                  </w:r>
                </w:p>
              </w:tc>
            </w:tr>
            <w:tr w:rsidR="00A52A85" w:rsidRPr="00A52A85" w14:paraId="0616E0B3" w14:textId="77777777" w:rsidTr="00A52A85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C79E75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$487,857,000</w:t>
                  </w:r>
                </w:p>
              </w:tc>
            </w:tr>
          </w:tbl>
          <w:p w14:paraId="6A253C08" w14:textId="77777777" w:rsidR="00A52A85" w:rsidRDefault="00A52A85" w:rsidP="000B3352"/>
        </w:tc>
        <w:tc>
          <w:tcPr>
            <w:tcW w:w="3120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4"/>
              <w:gridCol w:w="965"/>
              <w:gridCol w:w="965"/>
            </w:tblGrid>
            <w:tr w:rsidR="00A52A85" w:rsidRPr="00A52A85" w14:paraId="52181607" w14:textId="77777777" w:rsidTr="00A52A85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16870" w14:textId="52501337" w:rsidR="00A52A85" w:rsidRPr="00A52A85" w:rsidRDefault="00E065D3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A52A85"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07146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64313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A52A85" w:rsidRPr="00A52A85" w14:paraId="77A9B8D4" w14:textId="77777777" w:rsidTr="00A52A85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1FA7D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-18.5%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34F20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8.7%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F3D91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-15.7%</w:t>
                  </w:r>
                </w:p>
              </w:tc>
            </w:tr>
            <w:tr w:rsidR="00A52A85" w:rsidRPr="00A52A85" w14:paraId="2851636F" w14:textId="77777777" w:rsidTr="00A52A85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249ABF" w14:textId="77777777" w:rsidR="00A52A85" w:rsidRPr="00A52A85" w:rsidRDefault="00A52A85" w:rsidP="00A5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A52A8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$52,650,000</w:t>
                  </w:r>
                </w:p>
              </w:tc>
            </w:tr>
          </w:tbl>
          <w:p w14:paraId="317CF957" w14:textId="77777777" w:rsidR="00A52A85" w:rsidRDefault="00A52A85" w:rsidP="000B3352"/>
        </w:tc>
      </w:tr>
      <w:tr w:rsidR="003D249C" w:rsidRPr="004F1134" w14:paraId="33B29222" w14:textId="77777777" w:rsidTr="00CE1375">
        <w:tc>
          <w:tcPr>
            <w:tcW w:w="3120" w:type="dxa"/>
          </w:tcPr>
          <w:p w14:paraId="3006AC47" w14:textId="5DCF2AA9" w:rsidR="003D249C" w:rsidRPr="004F1134" w:rsidRDefault="003D249C" w:rsidP="003D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4F11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3120" w:type="dxa"/>
          </w:tcPr>
          <w:p w14:paraId="0B0BF78A" w14:textId="16A1B08D" w:rsidR="003D249C" w:rsidRPr="004F1134" w:rsidRDefault="003D249C" w:rsidP="003D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4F11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3120" w:type="dxa"/>
          </w:tcPr>
          <w:p w14:paraId="65241125" w14:textId="72CF3609" w:rsidR="003D249C" w:rsidRPr="004F1134" w:rsidRDefault="003D249C" w:rsidP="003D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4F11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</w:t>
            </w:r>
          </w:p>
        </w:tc>
      </w:tr>
    </w:tbl>
    <w:p w14:paraId="481B53FF" w14:textId="2C3848D7" w:rsidR="00A52A85" w:rsidRPr="00B91DF3" w:rsidRDefault="00CE1375" w:rsidP="003D249C">
      <w:pPr>
        <w:pStyle w:val="Seperator2"/>
      </w:pPr>
      <w:r w:rsidRPr="00B91DF3">
        <w:rPr>
          <w:rStyle w:val="Emphasis"/>
          <w:i/>
          <w:iCs/>
          <w:sz w:val="22"/>
          <w:szCs w:val="22"/>
        </w:rPr>
        <w:t>Line of Business Breakout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17"/>
        <w:gridCol w:w="3117"/>
      </w:tblGrid>
      <w:tr w:rsidR="008961D8" w14:paraId="4647BD80" w14:textId="77777777" w:rsidTr="004B4647">
        <w:tc>
          <w:tcPr>
            <w:tcW w:w="3126" w:type="dxa"/>
          </w:tcPr>
          <w:p w14:paraId="6DB47B3F" w14:textId="25E0D0E0" w:rsidR="008961D8" w:rsidRDefault="006B5ABD" w:rsidP="004B46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6AC1A14D" wp14:editId="45C1E055">
                  <wp:extent cx="1828800" cy="1220481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0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FE90916" w14:textId="77777777" w:rsidR="008961D8" w:rsidRPr="002B1434" w:rsidRDefault="008961D8" w:rsidP="004B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A0E6BBA" w14:textId="77777777" w:rsidR="008961D8" w:rsidRPr="002B1434" w:rsidRDefault="008961D8" w:rsidP="004B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1134" w:rsidRPr="004F1134" w14:paraId="6A0F1D46" w14:textId="77777777" w:rsidTr="00C33CD2">
        <w:tc>
          <w:tcPr>
            <w:tcW w:w="3126" w:type="dxa"/>
          </w:tcPr>
          <w:p w14:paraId="7EA890AD" w14:textId="5CBB4098" w:rsidR="004F1134" w:rsidRPr="004F1134" w:rsidRDefault="004F1134" w:rsidP="00C33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11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Figure 4</w:t>
            </w:r>
            <w:r w:rsidR="003D2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7" w:type="dxa"/>
          </w:tcPr>
          <w:p w14:paraId="23C32DD7" w14:textId="77777777" w:rsidR="004F1134" w:rsidRPr="004F1134" w:rsidRDefault="004F1134" w:rsidP="00C33C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1C267A7" w14:textId="77777777" w:rsidR="004F1134" w:rsidRPr="004F1134" w:rsidRDefault="004F1134" w:rsidP="00C33C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1134" w:rsidRPr="003D249C" w14:paraId="2746FB34" w14:textId="77777777" w:rsidTr="004B4647">
        <w:tc>
          <w:tcPr>
            <w:tcW w:w="3126" w:type="dxa"/>
          </w:tcPr>
          <w:p w14:paraId="0B3D6808" w14:textId="77777777" w:rsidR="004F1134" w:rsidRPr="003D249C" w:rsidRDefault="004F1134" w:rsidP="004B4647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17" w:type="dxa"/>
          </w:tcPr>
          <w:p w14:paraId="4DCCA32E" w14:textId="77777777" w:rsidR="004F1134" w:rsidRPr="003D249C" w:rsidRDefault="004F1134" w:rsidP="004B4647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17" w:type="dxa"/>
          </w:tcPr>
          <w:p w14:paraId="3E9CFA9C" w14:textId="77777777" w:rsidR="004F1134" w:rsidRPr="003D249C" w:rsidRDefault="004F1134" w:rsidP="004B4647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52A85" w14:paraId="10D49D59" w14:textId="77777777" w:rsidTr="004B4647">
        <w:tc>
          <w:tcPr>
            <w:tcW w:w="3126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966"/>
              <w:gridCol w:w="967"/>
              <w:gridCol w:w="967"/>
            </w:tblGrid>
            <w:tr w:rsidR="00A52A85" w:rsidRPr="006F78B6" w14:paraId="731457DA" w14:textId="77777777" w:rsidTr="004B4647">
              <w:trPr>
                <w:trHeight w:val="288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0349F" w14:textId="2CD42D7C" w:rsidR="00A52A85" w:rsidRPr="006F78B6" w:rsidRDefault="00E065D3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  <w:r w:rsidR="00A52A85" w:rsidRPr="006F78B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-to-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F7833" w14:textId="77777777" w:rsidR="00A52A85" w:rsidRPr="006F78B6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F78B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Rolling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31E76" w14:textId="77777777" w:rsidR="00A52A85" w:rsidRPr="006F78B6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F78B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Average</w:t>
                  </w:r>
                </w:p>
              </w:tc>
            </w:tr>
            <w:tr w:rsidR="00A52A85" w:rsidRPr="006F78B6" w14:paraId="7E5635AE" w14:textId="77777777" w:rsidTr="004B4647">
              <w:trPr>
                <w:trHeight w:val="288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B2EDE" w14:textId="3BF6CCDC" w:rsidR="00A52A85" w:rsidRPr="006F78B6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F78B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5</w:t>
                  </w:r>
                  <w:r w:rsidR="00534C7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.0</w:t>
                  </w:r>
                  <w:r w:rsidRPr="006F78B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1F16A" w14:textId="43B6010B" w:rsidR="00A52A85" w:rsidRPr="006F78B6" w:rsidRDefault="00534C79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4.3%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71F3C" w14:textId="397B6688" w:rsidR="00A52A85" w:rsidRPr="006F78B6" w:rsidRDefault="00534C79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3.9%</w:t>
                  </w:r>
                </w:p>
              </w:tc>
            </w:tr>
            <w:tr w:rsidR="00A52A85" w:rsidRPr="006F78B6" w14:paraId="29022076" w14:textId="77777777" w:rsidTr="004B4647">
              <w:trPr>
                <w:trHeight w:val="288"/>
              </w:trPr>
              <w:tc>
                <w:tcPr>
                  <w:tcW w:w="6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566233" w14:textId="0B3AA29B" w:rsidR="00A52A85" w:rsidRPr="006F78B6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6F78B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2021 Premium: $</w:t>
                  </w:r>
                  <w:r w:rsidR="00534C7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21,277,499</w:t>
                  </w:r>
                  <w:r w:rsidRPr="006F78B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,000</w:t>
                  </w:r>
                </w:p>
              </w:tc>
            </w:tr>
          </w:tbl>
          <w:p w14:paraId="51A411DA" w14:textId="77777777" w:rsidR="00A52A85" w:rsidRDefault="00A52A85" w:rsidP="004B4647"/>
        </w:tc>
        <w:tc>
          <w:tcPr>
            <w:tcW w:w="3117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1100"/>
              <w:gridCol w:w="829"/>
              <w:gridCol w:w="972"/>
            </w:tblGrid>
            <w:tr w:rsidR="00A52A85" w:rsidRPr="002B1434" w14:paraId="27ECFB56" w14:textId="77777777" w:rsidTr="004B4647">
              <w:trPr>
                <w:trHeight w:val="288"/>
              </w:trPr>
              <w:tc>
                <w:tcPr>
                  <w:tcW w:w="6060" w:type="dxa"/>
                  <w:gridSpan w:val="3"/>
                  <w:shd w:val="clear" w:color="auto" w:fill="auto"/>
                  <w:noWrap/>
                  <w:vAlign w:val="bottom"/>
                </w:tcPr>
                <w:p w14:paraId="1E4DC0DF" w14:textId="77777777" w:rsidR="00A52A85" w:rsidRPr="002B1434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2A85" w:rsidRPr="002B1434" w14:paraId="443E22D0" w14:textId="77777777" w:rsidTr="004B4647">
              <w:trPr>
                <w:trHeight w:val="288"/>
              </w:trPr>
              <w:tc>
                <w:tcPr>
                  <w:tcW w:w="2339" w:type="dxa"/>
                  <w:shd w:val="clear" w:color="auto" w:fill="auto"/>
                  <w:noWrap/>
                  <w:vAlign w:val="bottom"/>
                  <w:hideMark/>
                </w:tcPr>
                <w:p w14:paraId="4972E14B" w14:textId="77777777" w:rsidR="00A52A85" w:rsidRPr="002B1434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auto"/>
                  <w:noWrap/>
                  <w:vAlign w:val="bottom"/>
                </w:tcPr>
                <w:p w14:paraId="5739C5EC" w14:textId="77777777" w:rsidR="00A52A85" w:rsidRPr="002B1434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noWrap/>
                  <w:vAlign w:val="bottom"/>
                </w:tcPr>
                <w:p w14:paraId="5E6ADA1B" w14:textId="77777777" w:rsidR="00A52A85" w:rsidRPr="002B1434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2A85" w:rsidRPr="002B1434" w14:paraId="05E6C135" w14:textId="77777777" w:rsidTr="004B4647">
              <w:trPr>
                <w:trHeight w:val="288"/>
              </w:trPr>
              <w:tc>
                <w:tcPr>
                  <w:tcW w:w="2339" w:type="dxa"/>
                  <w:shd w:val="clear" w:color="auto" w:fill="auto"/>
                  <w:noWrap/>
                  <w:vAlign w:val="bottom"/>
                  <w:hideMark/>
                </w:tcPr>
                <w:p w14:paraId="1ECA59B6" w14:textId="77777777" w:rsidR="00A52A85" w:rsidRPr="002B1434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auto"/>
                  <w:noWrap/>
                  <w:vAlign w:val="bottom"/>
                </w:tcPr>
                <w:p w14:paraId="53E04DEB" w14:textId="77777777" w:rsidR="00A52A85" w:rsidRPr="002B1434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noWrap/>
                  <w:vAlign w:val="bottom"/>
                </w:tcPr>
                <w:p w14:paraId="5F1A100E" w14:textId="77777777" w:rsidR="00A52A85" w:rsidRPr="002B1434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08EB2C0" w14:textId="77777777" w:rsidR="00A52A85" w:rsidRDefault="00A52A85" w:rsidP="004B4647"/>
        </w:tc>
        <w:tc>
          <w:tcPr>
            <w:tcW w:w="3117" w:type="dxa"/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1100"/>
              <w:gridCol w:w="829"/>
              <w:gridCol w:w="972"/>
            </w:tblGrid>
            <w:tr w:rsidR="00A52A85" w:rsidRPr="002B1434" w14:paraId="3573FD91" w14:textId="77777777" w:rsidTr="004B4647">
              <w:trPr>
                <w:trHeight w:val="288"/>
              </w:trPr>
              <w:tc>
                <w:tcPr>
                  <w:tcW w:w="6060" w:type="dxa"/>
                  <w:gridSpan w:val="3"/>
                  <w:shd w:val="clear" w:color="auto" w:fill="auto"/>
                  <w:noWrap/>
                  <w:vAlign w:val="bottom"/>
                </w:tcPr>
                <w:p w14:paraId="7D6C0E78" w14:textId="77777777" w:rsidR="00A52A85" w:rsidRPr="002B1434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2A85" w:rsidRPr="002B1434" w14:paraId="3851541F" w14:textId="77777777" w:rsidTr="004B4647">
              <w:trPr>
                <w:trHeight w:val="288"/>
              </w:trPr>
              <w:tc>
                <w:tcPr>
                  <w:tcW w:w="2339" w:type="dxa"/>
                  <w:shd w:val="clear" w:color="auto" w:fill="auto"/>
                  <w:noWrap/>
                  <w:vAlign w:val="bottom"/>
                </w:tcPr>
                <w:p w14:paraId="3DD37F50" w14:textId="77777777" w:rsidR="00A52A85" w:rsidRPr="002B1434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auto"/>
                  <w:noWrap/>
                  <w:vAlign w:val="bottom"/>
                </w:tcPr>
                <w:p w14:paraId="75C7FF85" w14:textId="77777777" w:rsidR="00A52A85" w:rsidRPr="002B1434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noWrap/>
                  <w:vAlign w:val="bottom"/>
                </w:tcPr>
                <w:p w14:paraId="14A27AE5" w14:textId="77777777" w:rsidR="00A52A85" w:rsidRPr="002B1434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2A85" w:rsidRPr="002B1434" w14:paraId="261E42E9" w14:textId="77777777" w:rsidTr="004B4647">
              <w:trPr>
                <w:trHeight w:val="288"/>
              </w:trPr>
              <w:tc>
                <w:tcPr>
                  <w:tcW w:w="2339" w:type="dxa"/>
                  <w:shd w:val="clear" w:color="auto" w:fill="auto"/>
                  <w:noWrap/>
                  <w:vAlign w:val="bottom"/>
                </w:tcPr>
                <w:p w14:paraId="2314F431" w14:textId="77777777" w:rsidR="00A52A85" w:rsidRPr="002B1434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auto"/>
                  <w:noWrap/>
                  <w:vAlign w:val="bottom"/>
                </w:tcPr>
                <w:p w14:paraId="75E8C7DA" w14:textId="77777777" w:rsidR="00A52A85" w:rsidRPr="002B1434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noWrap/>
                  <w:vAlign w:val="bottom"/>
                </w:tcPr>
                <w:p w14:paraId="7E47DE0B" w14:textId="77777777" w:rsidR="00A52A85" w:rsidRPr="002B1434" w:rsidRDefault="00A52A85" w:rsidP="004B4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1F9A24F" w14:textId="77777777" w:rsidR="00A52A85" w:rsidRDefault="00A52A85" w:rsidP="004B4647"/>
        </w:tc>
      </w:tr>
      <w:tr w:rsidR="00A52A85" w:rsidRPr="004F1134" w14:paraId="6E22B962" w14:textId="77777777" w:rsidTr="004B4647">
        <w:tc>
          <w:tcPr>
            <w:tcW w:w="3126" w:type="dxa"/>
          </w:tcPr>
          <w:p w14:paraId="47A5217E" w14:textId="330624D5" w:rsidR="00A52A85" w:rsidRPr="004F1134" w:rsidRDefault="003D249C" w:rsidP="004B46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Table </w:t>
            </w:r>
            <w:r w:rsidR="002372BF" w:rsidRPr="004F11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7" w:type="dxa"/>
          </w:tcPr>
          <w:p w14:paraId="2502C786" w14:textId="77777777" w:rsidR="00A52A85" w:rsidRPr="004F1134" w:rsidRDefault="00A52A85" w:rsidP="004B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6AD36F8" w14:textId="77777777" w:rsidR="00A52A85" w:rsidRPr="004F1134" w:rsidRDefault="00A52A85" w:rsidP="004B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708DB88" w14:textId="77777777" w:rsidR="00DD386D" w:rsidRPr="00DD386D" w:rsidRDefault="00DD386D" w:rsidP="00DD386D">
      <w:pPr>
        <w:pStyle w:val="FiguresandAMBestSource"/>
        <w:rPr>
          <w:rStyle w:val="SubtleEmphasis"/>
          <w:i w:val="0"/>
          <w:iCs w:val="0"/>
          <w:color w:val="auto"/>
        </w:rPr>
      </w:pPr>
      <w:r w:rsidRPr="00DD386D">
        <w:rPr>
          <w:rStyle w:val="SubtleEmphasis"/>
          <w:i w:val="0"/>
          <w:iCs w:val="0"/>
          <w:color w:val="auto"/>
        </w:rPr>
        <w:t>Source: © A.M. Best Company — used by permission.</w:t>
      </w:r>
    </w:p>
    <w:p w14:paraId="34636759" w14:textId="3C37561E" w:rsidR="00AC1F95" w:rsidRPr="00FB1207" w:rsidRDefault="00AC1F95" w:rsidP="00FB1207">
      <w:pPr>
        <w:pStyle w:val="Heading1-NoCollasping"/>
      </w:pPr>
      <w:r w:rsidRPr="00FB1207">
        <w:lastRenderedPageBreak/>
        <w:t>Appendix #1</w:t>
      </w:r>
      <w:r w:rsidR="00AC1A66">
        <w:t xml:space="preserve"> – </w:t>
      </w:r>
      <w:r w:rsidRPr="00FB1207">
        <w:t>Measuring Premium Growth</w:t>
      </w:r>
    </w:p>
    <w:p w14:paraId="1732EA0E" w14:textId="4F27D561" w:rsidR="000F26D4" w:rsidRDefault="008C58DA" w:rsidP="0020460F">
      <w:pPr>
        <w:spacing w:after="360"/>
      </w:pPr>
      <w:r>
        <w:t>Premium g</w:t>
      </w:r>
      <w:r w:rsidR="00AC1F95">
        <w:t xml:space="preserve">rowth rates are tracked and measured in 3 ways in </w:t>
      </w:r>
      <w:r w:rsidR="002A0150">
        <w:t>the</w:t>
      </w:r>
      <w:r w:rsidR="00AC1F95">
        <w:t xml:space="preserve"> </w:t>
      </w:r>
      <w:r w:rsidR="00006B17">
        <w:rPr>
          <w:b/>
          <w:bCs/>
          <w:i/>
          <w:iCs/>
        </w:rPr>
        <w:t>Nebraska</w:t>
      </w:r>
      <w:r w:rsidR="00561C26" w:rsidRPr="00E960EB">
        <w:rPr>
          <w:b/>
          <w:bCs/>
          <w:i/>
          <w:iCs/>
        </w:rPr>
        <w:t xml:space="preserve"> 2022-Quarterly P-C Premium Summary</w:t>
      </w:r>
      <w:r w:rsidR="00AC1A66">
        <w:rPr>
          <w:b/>
          <w:bCs/>
          <w:i/>
          <w:iCs/>
        </w:rPr>
        <w:t xml:space="preserve"> – </w:t>
      </w:r>
      <w:r w:rsidR="00561C26" w:rsidRPr="00E960EB">
        <w:rPr>
          <w:b/>
          <w:bCs/>
          <w:i/>
          <w:iCs/>
        </w:rPr>
        <w:t>Q1</w:t>
      </w:r>
      <w:r w:rsidR="00044A2E">
        <w:t>.</w:t>
      </w:r>
    </w:p>
    <w:p w14:paraId="35FCF27E" w14:textId="27ABD5C2" w:rsidR="000F26D4" w:rsidRDefault="000F26D4" w:rsidP="0020460F">
      <w:pPr>
        <w:spacing w:after="360"/>
      </w:pPr>
      <w:r>
        <w:t xml:space="preserve">The three measures of growth are: </w:t>
      </w:r>
      <w:r w:rsidRPr="00044A2E">
        <w:t xml:space="preserve">Q1-to-Q1, Rolling (12-Months), and Average </w:t>
      </w:r>
      <w:r>
        <w:t>(</w:t>
      </w:r>
      <w:r w:rsidRPr="00044A2E">
        <w:t>4 Years</w:t>
      </w:r>
      <w:r>
        <w:t xml:space="preserve">). </w:t>
      </w:r>
      <w:r w:rsidRPr="00044A2E">
        <w:t xml:space="preserve"> </w:t>
      </w:r>
      <w:r>
        <w:t xml:space="preserve">Three measures are provided because either a short-, medium-, or long-term </w:t>
      </w:r>
      <w:r w:rsidRPr="00C47BC8">
        <w:t xml:space="preserve">percentage </w:t>
      </w:r>
      <w:r>
        <w:t xml:space="preserve">measure may be the most useful.  </w:t>
      </w:r>
    </w:p>
    <w:p w14:paraId="76E43525" w14:textId="32EFEB8E" w:rsidR="00DA39C2" w:rsidRDefault="00DA39C2" w:rsidP="00DA39C2">
      <w:pPr>
        <w:pStyle w:val="ListParagraph"/>
        <w:numPr>
          <w:ilvl w:val="0"/>
          <w:numId w:val="16"/>
        </w:numPr>
        <w:spacing w:after="360"/>
      </w:pPr>
      <w:r>
        <w:t xml:space="preserve">Short-Term: </w:t>
      </w:r>
      <w:r w:rsidR="00002C03" w:rsidRPr="00044A2E">
        <w:t>Q1-to-Q1</w:t>
      </w:r>
      <w:r w:rsidR="00002C03">
        <w:t xml:space="preserve"> </w:t>
      </w:r>
      <w:r w:rsidR="00054FA2">
        <w:t>growth rates tend to be the most volatile but are the most current.</w:t>
      </w:r>
    </w:p>
    <w:p w14:paraId="2548552D" w14:textId="77777777" w:rsidR="00DA39C2" w:rsidRDefault="00DA39C2" w:rsidP="00DA39C2">
      <w:pPr>
        <w:pStyle w:val="ListParagraph"/>
        <w:numPr>
          <w:ilvl w:val="0"/>
          <w:numId w:val="16"/>
        </w:numPr>
        <w:spacing w:after="360"/>
      </w:pPr>
      <w:r>
        <w:t xml:space="preserve">Medium-Term: </w:t>
      </w:r>
      <w:r w:rsidR="00054FA2">
        <w:t>Rolling 12-months is a bit more stable but still current.</w:t>
      </w:r>
    </w:p>
    <w:p w14:paraId="47032F4D" w14:textId="7C221D70" w:rsidR="00002C03" w:rsidRDefault="00DA39C2" w:rsidP="00DA39C2">
      <w:pPr>
        <w:pStyle w:val="ListParagraph"/>
        <w:numPr>
          <w:ilvl w:val="0"/>
          <w:numId w:val="16"/>
        </w:numPr>
        <w:spacing w:after="360"/>
      </w:pPr>
      <w:r>
        <w:t xml:space="preserve">Long-Term: </w:t>
      </w:r>
      <w:r w:rsidR="00054FA2">
        <w:t xml:space="preserve">Average </w:t>
      </w:r>
      <w:r>
        <w:t>(</w:t>
      </w:r>
      <w:r w:rsidR="00054FA2">
        <w:t>4 Years</w:t>
      </w:r>
      <w:r>
        <w:t>)</w:t>
      </w:r>
      <w:r w:rsidR="00054FA2">
        <w:t xml:space="preserve"> is still current but the most stable and useful for assessing longer-term trends.  </w:t>
      </w:r>
    </w:p>
    <w:p w14:paraId="649F1965" w14:textId="019D3E04" w:rsidR="000F26D4" w:rsidRDefault="000F26D4" w:rsidP="0020460F">
      <w:pPr>
        <w:spacing w:after="360"/>
      </w:pPr>
      <w:r w:rsidRPr="000F26D4">
        <w:t xml:space="preserve">As with the </w:t>
      </w:r>
      <w:r w:rsidRPr="000F26D4">
        <w:rPr>
          <w:b/>
          <w:bCs/>
          <w:i/>
          <w:iCs/>
        </w:rPr>
        <w:t xml:space="preserve">2021 </w:t>
      </w:r>
      <w:r w:rsidR="00006B17">
        <w:rPr>
          <w:b/>
          <w:bCs/>
          <w:i/>
          <w:iCs/>
        </w:rPr>
        <w:t>Nebraska</w:t>
      </w:r>
      <w:r w:rsidRPr="000F26D4">
        <w:rPr>
          <w:b/>
          <w:bCs/>
          <w:i/>
          <w:iCs/>
        </w:rPr>
        <w:t xml:space="preserve"> P-C Marketplace Summary</w:t>
      </w:r>
      <w:r w:rsidRPr="000F26D4">
        <w:t>, th</w:t>
      </w:r>
      <w:r w:rsidR="0080665A">
        <w:t>is</w:t>
      </w:r>
      <w:r w:rsidRPr="000F26D4">
        <w:t xml:space="preserve"> quarterly Summary uses </w:t>
      </w:r>
      <w:r w:rsidR="00A93F6F">
        <w:t xml:space="preserve">P-C industry </w:t>
      </w:r>
      <w:r w:rsidRPr="000F26D4">
        <w:t xml:space="preserve">data on </w:t>
      </w:r>
      <w:r w:rsidR="00C5622E">
        <w:t xml:space="preserve">the </w:t>
      </w:r>
      <w:r w:rsidRPr="000F26D4">
        <w:t>direct insurance business</w:t>
      </w:r>
      <w:r w:rsidR="00FE3195">
        <w:t>,</w:t>
      </w:r>
      <w:r w:rsidRPr="000F26D4">
        <w:t xml:space="preserve"> </w:t>
      </w:r>
      <w:r w:rsidRPr="00FE3195">
        <w:rPr>
          <w:u w:val="single"/>
        </w:rPr>
        <w:t>before</w:t>
      </w:r>
      <w:r w:rsidRPr="00603767">
        <w:t xml:space="preserve"> </w:t>
      </w:r>
      <w:r w:rsidRPr="00FE3195">
        <w:t>reinsurance</w:t>
      </w:r>
      <w:r w:rsidRPr="000F26D4">
        <w:t xml:space="preserve">.  </w:t>
      </w:r>
      <w:r w:rsidR="00C5622E">
        <w:t xml:space="preserve">As independent agents, this is the marketplace experience </w:t>
      </w:r>
      <w:r w:rsidR="0080665A">
        <w:t>for</w:t>
      </w:r>
      <w:r w:rsidR="00C5622E">
        <w:t xml:space="preserve"> the business we place for our clients. </w:t>
      </w:r>
      <w:r w:rsidR="0080665A">
        <w:t xml:space="preserve"> </w:t>
      </w:r>
      <w:r w:rsidR="00FE3195">
        <w:t>So, p</w:t>
      </w:r>
      <w:r w:rsidR="00C5622E">
        <w:t>remiums used</w:t>
      </w:r>
      <w:r w:rsidR="00FE3195">
        <w:t xml:space="preserve"> </w:t>
      </w:r>
      <w:r w:rsidR="00C5622E">
        <w:t xml:space="preserve">throughout this quarterly Summary are </w:t>
      </w:r>
      <w:r w:rsidRPr="000F26D4">
        <w:t>direct premiums</w:t>
      </w:r>
      <w:r w:rsidR="00C5622E">
        <w:t xml:space="preserve">, not net </w:t>
      </w:r>
      <w:proofErr w:type="gramStart"/>
      <w:r w:rsidR="00C5622E">
        <w:t>premiums</w:t>
      </w:r>
      <w:proofErr w:type="gramEnd"/>
      <w:r w:rsidR="00C5622E">
        <w:t xml:space="preserve"> or gross premiums</w:t>
      </w:r>
      <w:r w:rsidRPr="000F26D4">
        <w:t>.</w:t>
      </w:r>
      <w:r w:rsidR="00A93F6F">
        <w:t xml:space="preserve">  Also, as the quarterly Summary is focused on insurance polic</w:t>
      </w:r>
      <w:r w:rsidR="00FE3195">
        <w:t>y</w:t>
      </w:r>
      <w:r w:rsidR="00A93F6F">
        <w:t xml:space="preserve"> </w:t>
      </w:r>
      <w:r w:rsidR="00FE3195">
        <w:t xml:space="preserve">trends </w:t>
      </w:r>
      <w:r w:rsidR="0080665A">
        <w:t>in</w:t>
      </w:r>
      <w:r w:rsidR="00FE3195">
        <w:t xml:space="preserve"> </w:t>
      </w:r>
      <w:r w:rsidR="00A93F6F">
        <w:t xml:space="preserve">each quarter, written premiums, </w:t>
      </w:r>
      <w:r w:rsidR="00A93F6F" w:rsidRPr="00FE3195">
        <w:rPr>
          <w:u w:val="single"/>
        </w:rPr>
        <w:t>not</w:t>
      </w:r>
      <w:r w:rsidR="00A93F6F">
        <w:t xml:space="preserve"> earned premiums</w:t>
      </w:r>
      <w:r w:rsidR="00603767">
        <w:t>,</w:t>
      </w:r>
      <w:r w:rsidR="00FE3195">
        <w:t xml:space="preserve"> are used</w:t>
      </w:r>
      <w:r w:rsidR="00A93F6F">
        <w:t>.</w:t>
      </w:r>
    </w:p>
    <w:p w14:paraId="64809CAB" w14:textId="6A913201" w:rsidR="00AC1F95" w:rsidRDefault="003B795F" w:rsidP="0020460F">
      <w:pPr>
        <w:spacing w:after="360"/>
      </w:pPr>
      <w:r>
        <w:t>Figure</w:t>
      </w:r>
      <w:r w:rsidR="0080665A">
        <w:t>s</w:t>
      </w:r>
      <w:r>
        <w:t xml:space="preserve"> 4</w:t>
      </w:r>
      <w:r w:rsidR="00002C03">
        <w:t>5</w:t>
      </w:r>
      <w:r w:rsidR="001E5939">
        <w:t>-4</w:t>
      </w:r>
      <w:r w:rsidR="00002C03">
        <w:t>7</w:t>
      </w:r>
      <w:r>
        <w:t xml:space="preserve"> </w:t>
      </w:r>
      <w:r w:rsidR="00E960EB">
        <w:t xml:space="preserve">below </w:t>
      </w:r>
      <w:r w:rsidR="001E5939">
        <w:t xml:space="preserve">visually </w:t>
      </w:r>
      <w:r w:rsidR="00002C03">
        <w:t xml:space="preserve">show </w:t>
      </w:r>
      <w:r w:rsidR="001E5939">
        <w:t>what each percentage conveys</w:t>
      </w:r>
      <w:r w:rsidR="00002C03">
        <w:t xml:space="preserve">, </w:t>
      </w:r>
      <w:r w:rsidR="001759BA">
        <w:t>followed by the mathematical formula</w:t>
      </w:r>
      <w:r w:rsidR="00002C03">
        <w:t xml:space="preserve"> for computing the growth rate</w:t>
      </w:r>
      <w:r>
        <w:t xml:space="preserve">.  </w:t>
      </w:r>
      <w:r w:rsidR="001E5939">
        <w:t>Figure 4</w:t>
      </w:r>
      <w:r w:rsidR="004F1D80">
        <w:t>5</w:t>
      </w:r>
      <w:r w:rsidR="001E5939">
        <w:t xml:space="preserve"> shows Q1-to-Q1, </w:t>
      </w:r>
      <w:r>
        <w:t>Figure 4</w:t>
      </w:r>
      <w:r w:rsidR="004F1D80">
        <w:t>6</w:t>
      </w:r>
      <w:r>
        <w:t xml:space="preserve"> the </w:t>
      </w:r>
      <w:r w:rsidR="00AC1F95">
        <w:t>Rolling 12</w:t>
      </w:r>
      <w:r w:rsidR="002A0150">
        <w:t>-</w:t>
      </w:r>
      <w:r w:rsidR="00AC1F95">
        <w:t>Months</w:t>
      </w:r>
      <w:r w:rsidR="004F1D80">
        <w:t>,</w:t>
      </w:r>
      <w:r w:rsidR="00AC1F95">
        <w:t xml:space="preserve"> and </w:t>
      </w:r>
      <w:r>
        <w:t>Figure 4</w:t>
      </w:r>
      <w:r w:rsidR="004F1D80">
        <w:t>7</w:t>
      </w:r>
      <w:r>
        <w:t xml:space="preserve"> shows </w:t>
      </w:r>
      <w:r w:rsidR="00AC1F95">
        <w:t>Average 4</w:t>
      </w:r>
      <w:r w:rsidR="002A0150">
        <w:t>-</w:t>
      </w:r>
      <w:r w:rsidR="00AC1F95">
        <w:t xml:space="preserve">Years.  </w:t>
      </w:r>
      <w:r w:rsidR="00C76B4C">
        <w:t>United States</w:t>
      </w:r>
      <w:r w:rsidR="002372BF">
        <w:t xml:space="preserve"> </w:t>
      </w:r>
      <w:r w:rsidR="00AC1F95">
        <w:t xml:space="preserve">E&amp;S data </w:t>
      </w:r>
      <w:r>
        <w:t>is used as an illustration of the calculations</w:t>
      </w:r>
      <w:r w:rsidR="004F1D80">
        <w:t>,</w:t>
      </w:r>
      <w:r w:rsidR="001759BA">
        <w:t xml:space="preserve"> based on the data in the bar charts</w:t>
      </w:r>
      <w:r w:rsidR="00AC1F95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5572" w:rsidRPr="003B795F" w14:paraId="7CFD5017" w14:textId="77777777" w:rsidTr="003B795F">
        <w:tc>
          <w:tcPr>
            <w:tcW w:w="3116" w:type="dxa"/>
          </w:tcPr>
          <w:p w14:paraId="7C176F4F" w14:textId="3336001C" w:rsidR="00CD5572" w:rsidRPr="003B795F" w:rsidRDefault="004A0E9B" w:rsidP="0020460F">
            <w:pPr>
              <w:pStyle w:val="DataTable3x3by2wid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01A09A" wp14:editId="1F81621E">
                  <wp:extent cx="1828800" cy="2292071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92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A1612AD" w14:textId="64B030B9" w:rsidR="00CD5572" w:rsidRPr="003B795F" w:rsidRDefault="004A0E9B" w:rsidP="0020460F">
            <w:pPr>
              <w:pStyle w:val="DataTable3x3by2wid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2E619B9" wp14:editId="6D26702C">
                  <wp:extent cx="1828800" cy="2264184"/>
                  <wp:effectExtent l="0" t="0" r="0" b="317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64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BD7484C" w14:textId="0E13B75D" w:rsidR="00CD5572" w:rsidRPr="003B795F" w:rsidRDefault="004A0E9B" w:rsidP="0020460F">
            <w:pPr>
              <w:pStyle w:val="DataTable3x3by2wid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67E3DBA" wp14:editId="50D32CDB">
                  <wp:extent cx="1828800" cy="2219731"/>
                  <wp:effectExtent l="0" t="0" r="0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19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95F" w:rsidRPr="00BC1093" w14:paraId="7B2E1F96" w14:textId="77777777" w:rsidTr="003B795F">
        <w:tc>
          <w:tcPr>
            <w:tcW w:w="3116" w:type="dxa"/>
          </w:tcPr>
          <w:p w14:paraId="74D772AC" w14:textId="56A8EE23" w:rsidR="003B795F" w:rsidRPr="00BC1093" w:rsidRDefault="003B795F" w:rsidP="003B795F">
            <w:pPr>
              <w:pStyle w:val="DataTable3x3by2wide"/>
              <w:jc w:val="left"/>
              <w:rPr>
                <w:sz w:val="20"/>
                <w:szCs w:val="20"/>
              </w:rPr>
            </w:pPr>
            <w:r w:rsidRPr="00BC1093">
              <w:rPr>
                <w:sz w:val="20"/>
                <w:szCs w:val="20"/>
              </w:rPr>
              <w:t>Figure 4</w:t>
            </w:r>
            <w:r w:rsidR="00BC1093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</w:tcPr>
          <w:p w14:paraId="08571E55" w14:textId="76135E71" w:rsidR="003B795F" w:rsidRPr="00BC1093" w:rsidRDefault="003B795F" w:rsidP="003B795F">
            <w:pPr>
              <w:pStyle w:val="DataTable3x3by2wide"/>
              <w:jc w:val="left"/>
              <w:rPr>
                <w:sz w:val="20"/>
                <w:szCs w:val="20"/>
              </w:rPr>
            </w:pPr>
            <w:r w:rsidRPr="00BC1093">
              <w:rPr>
                <w:sz w:val="20"/>
                <w:szCs w:val="20"/>
              </w:rPr>
              <w:t>Figure 4</w:t>
            </w:r>
            <w:r w:rsidR="00BC1093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</w:tcPr>
          <w:p w14:paraId="11336172" w14:textId="0A2DAED0" w:rsidR="003B795F" w:rsidRPr="00BC1093" w:rsidRDefault="003B795F" w:rsidP="003B795F">
            <w:pPr>
              <w:pStyle w:val="DataTable3x3by2wide"/>
              <w:jc w:val="left"/>
              <w:rPr>
                <w:sz w:val="20"/>
                <w:szCs w:val="20"/>
              </w:rPr>
            </w:pPr>
            <w:r w:rsidRPr="00BC1093">
              <w:rPr>
                <w:sz w:val="20"/>
                <w:szCs w:val="20"/>
              </w:rPr>
              <w:t>Figure 4</w:t>
            </w:r>
            <w:r w:rsidR="00BC1093">
              <w:rPr>
                <w:sz w:val="20"/>
                <w:szCs w:val="20"/>
              </w:rPr>
              <w:t>7</w:t>
            </w:r>
          </w:p>
        </w:tc>
      </w:tr>
    </w:tbl>
    <w:p w14:paraId="70B2243B" w14:textId="77777777" w:rsidR="00AC1F95" w:rsidRDefault="00AC1F95" w:rsidP="00AC1F95">
      <w:r>
        <w:br w:type="page"/>
      </w:r>
    </w:p>
    <w:p w14:paraId="47831BDE" w14:textId="4C8EB899" w:rsidR="00054FA2" w:rsidRPr="00FB1207" w:rsidRDefault="00CB5F62" w:rsidP="00FB1207">
      <w:pPr>
        <w:pStyle w:val="Heading1-NoCollasping"/>
      </w:pPr>
      <w:r w:rsidRPr="00FB1207">
        <w:lastRenderedPageBreak/>
        <w:t>Appendix #2</w:t>
      </w:r>
      <w:r w:rsidR="00AC1A66">
        <w:t xml:space="preserve"> – </w:t>
      </w:r>
      <w:r w:rsidRPr="00FB1207">
        <w:t xml:space="preserve">Annual </w:t>
      </w:r>
      <w:r w:rsidR="005978B5">
        <w:t xml:space="preserve">vs. Quarterly P-C </w:t>
      </w:r>
      <w:r w:rsidRPr="00FB1207">
        <w:t>Summaries</w:t>
      </w:r>
    </w:p>
    <w:p w14:paraId="6790B361" w14:textId="60FB1281" w:rsidR="00552578" w:rsidRPr="00552578" w:rsidRDefault="00552578" w:rsidP="00054FA2">
      <w:r>
        <w:t xml:space="preserve">There are several </w:t>
      </w:r>
      <w:r w:rsidR="001905E1">
        <w:t xml:space="preserve">important </w:t>
      </w:r>
      <w:r>
        <w:t>differences i</w:t>
      </w:r>
      <w:r w:rsidR="00A6001B">
        <w:t>n the</w:t>
      </w:r>
      <w:r>
        <w:t xml:space="preserve"> annual </w:t>
      </w:r>
      <w:r w:rsidRPr="00742521">
        <w:rPr>
          <w:b/>
          <w:bCs/>
          <w:i/>
          <w:iCs/>
        </w:rPr>
        <w:t xml:space="preserve">2021 </w:t>
      </w:r>
      <w:r w:rsidR="00006B17">
        <w:rPr>
          <w:b/>
          <w:bCs/>
          <w:i/>
          <w:iCs/>
        </w:rPr>
        <w:t>Nebraska</w:t>
      </w:r>
      <w:r w:rsidRPr="00742521">
        <w:rPr>
          <w:b/>
          <w:bCs/>
          <w:i/>
          <w:iCs/>
        </w:rPr>
        <w:t xml:space="preserve"> P-C Marketplace Summary</w:t>
      </w:r>
      <w:r>
        <w:t xml:space="preserve"> vs. the </w:t>
      </w:r>
      <w:r w:rsidR="00006B17">
        <w:rPr>
          <w:b/>
          <w:bCs/>
          <w:i/>
          <w:iCs/>
        </w:rPr>
        <w:t>Nebraska</w:t>
      </w:r>
      <w:r w:rsidR="00561C26">
        <w:rPr>
          <w:b/>
          <w:bCs/>
          <w:i/>
          <w:iCs/>
        </w:rPr>
        <w:t xml:space="preserve"> 2022</w:t>
      </w:r>
      <w:r w:rsidR="00E960EB">
        <w:rPr>
          <w:b/>
          <w:bCs/>
          <w:i/>
          <w:iCs/>
        </w:rPr>
        <w:t xml:space="preserve"> </w:t>
      </w:r>
      <w:r w:rsidR="00561C26">
        <w:rPr>
          <w:b/>
          <w:bCs/>
          <w:i/>
          <w:iCs/>
        </w:rPr>
        <w:t>Quarterly P-C Premium Summary</w:t>
      </w:r>
      <w:r w:rsidR="00AC1A66">
        <w:rPr>
          <w:b/>
          <w:bCs/>
          <w:i/>
          <w:iCs/>
        </w:rPr>
        <w:t xml:space="preserve"> – </w:t>
      </w:r>
      <w:r w:rsidR="00561C26">
        <w:rPr>
          <w:b/>
          <w:bCs/>
          <w:i/>
          <w:iCs/>
        </w:rPr>
        <w:t>Q1</w:t>
      </w:r>
      <w:r>
        <w:rPr>
          <w:b/>
          <w:bCs/>
          <w:i/>
          <w:iCs/>
        </w:rPr>
        <w:t>.</w:t>
      </w:r>
      <w:r>
        <w:t xml:space="preserve">  Those are </w:t>
      </w:r>
      <w:r w:rsidR="00A6001B">
        <w:t xml:space="preserve">differences in </w:t>
      </w:r>
      <w:r>
        <w:t xml:space="preserve">how lines of business are reported, </w:t>
      </w:r>
      <w:r w:rsidR="00A6001B">
        <w:t xml:space="preserve">differences in some </w:t>
      </w:r>
      <w:r>
        <w:t>premium</w:t>
      </w:r>
      <w:r w:rsidR="00A6001B">
        <w:t xml:space="preserve"> totals</w:t>
      </w:r>
      <w:r>
        <w:t xml:space="preserve">, and </w:t>
      </w:r>
      <w:r w:rsidR="00A6001B">
        <w:t xml:space="preserve">differences in </w:t>
      </w:r>
      <w:r>
        <w:t>the number of years covered.  There is also one important similarity between the annual Summary and quarterly Summary.</w:t>
      </w:r>
      <w:r w:rsidRPr="00552578">
        <w:t xml:space="preserve"> </w:t>
      </w:r>
      <w:r>
        <w:t xml:space="preserve">That </w:t>
      </w:r>
      <w:r w:rsidR="009F5FAF">
        <w:t>similarity is</w:t>
      </w:r>
      <w:r>
        <w:t xml:space="preserve"> how insurers are categorized into distribution styles.</w:t>
      </w:r>
    </w:p>
    <w:p w14:paraId="5F37EE58" w14:textId="77777777" w:rsidR="00C5033E" w:rsidRPr="00CD5572" w:rsidRDefault="00C5033E" w:rsidP="00FB6AD2">
      <w:pPr>
        <w:pStyle w:val="Heading2-NoCollapsing"/>
      </w:pPr>
      <w:r w:rsidRPr="00CD5572">
        <w:t>Lines of Business Differences</w:t>
      </w:r>
    </w:p>
    <w:p w14:paraId="7FBF8426" w14:textId="4C5046BC" w:rsidR="00C5033E" w:rsidRDefault="00552578" w:rsidP="005A2E34">
      <w:r>
        <w:t xml:space="preserve">The lines of business </w:t>
      </w:r>
      <w:r w:rsidR="00A6001B">
        <w:t xml:space="preserve">reported by </w:t>
      </w:r>
      <w:r>
        <w:t xml:space="preserve">insurers in annual statutory statements </w:t>
      </w:r>
      <w:r w:rsidR="00A6001B">
        <w:t xml:space="preserve">are </w:t>
      </w:r>
      <w:r>
        <w:t xml:space="preserve">more </w:t>
      </w:r>
      <w:r w:rsidR="00A6001B">
        <w:t xml:space="preserve">numerous and </w:t>
      </w:r>
      <w:r>
        <w:t xml:space="preserve">detailed than </w:t>
      </w:r>
      <w:r w:rsidR="00A6001B">
        <w:t xml:space="preserve">the lines of business reported </w:t>
      </w:r>
      <w:r>
        <w:t xml:space="preserve">in quarterly reports.  </w:t>
      </w:r>
      <w:r w:rsidR="00CC6EA2">
        <w:t xml:space="preserve">This results in a </w:t>
      </w:r>
      <w:r w:rsidR="00172C14">
        <w:t xml:space="preserve">difference in how lines of business are handled </w:t>
      </w:r>
      <w:r w:rsidR="00CC6EA2">
        <w:t xml:space="preserve">in </w:t>
      </w:r>
      <w:r w:rsidR="00A6001B">
        <w:t xml:space="preserve">the annual </w:t>
      </w:r>
      <w:r w:rsidR="00A6001B" w:rsidRPr="00742521">
        <w:rPr>
          <w:b/>
          <w:bCs/>
          <w:i/>
          <w:iCs/>
        </w:rPr>
        <w:t xml:space="preserve">2021 </w:t>
      </w:r>
      <w:r w:rsidR="00006B17">
        <w:rPr>
          <w:b/>
          <w:bCs/>
          <w:i/>
          <w:iCs/>
        </w:rPr>
        <w:t>Nebraska</w:t>
      </w:r>
      <w:r w:rsidR="00A6001B" w:rsidRPr="00742521">
        <w:rPr>
          <w:b/>
          <w:bCs/>
          <w:i/>
          <w:iCs/>
        </w:rPr>
        <w:t xml:space="preserve"> P-C Marketplace Summary</w:t>
      </w:r>
      <w:r w:rsidR="00A6001B">
        <w:t xml:space="preserve"> </w:t>
      </w:r>
      <w:r w:rsidR="001905E1">
        <w:t>vs.</w:t>
      </w:r>
      <w:r w:rsidR="00A6001B">
        <w:t xml:space="preserve"> the </w:t>
      </w:r>
      <w:r w:rsidR="00006B17">
        <w:rPr>
          <w:b/>
          <w:bCs/>
          <w:i/>
          <w:iCs/>
        </w:rPr>
        <w:t>Nebraska</w:t>
      </w:r>
      <w:r w:rsidR="00561C26">
        <w:rPr>
          <w:b/>
          <w:bCs/>
          <w:i/>
          <w:iCs/>
        </w:rPr>
        <w:t xml:space="preserve"> 2022</w:t>
      </w:r>
      <w:r w:rsidR="00E960EB">
        <w:rPr>
          <w:b/>
          <w:bCs/>
          <w:i/>
          <w:iCs/>
        </w:rPr>
        <w:t xml:space="preserve"> </w:t>
      </w:r>
      <w:r w:rsidR="00561C26">
        <w:rPr>
          <w:b/>
          <w:bCs/>
          <w:i/>
          <w:iCs/>
        </w:rPr>
        <w:t>Quarterly P-C Premium Summary</w:t>
      </w:r>
      <w:r w:rsidR="00AC1A66">
        <w:rPr>
          <w:b/>
          <w:bCs/>
          <w:i/>
          <w:iCs/>
        </w:rPr>
        <w:t xml:space="preserve"> – </w:t>
      </w:r>
      <w:r w:rsidR="00561C26">
        <w:rPr>
          <w:b/>
          <w:bCs/>
          <w:i/>
          <w:iCs/>
        </w:rPr>
        <w:t>Q1</w:t>
      </w:r>
      <w:r w:rsidR="00172C14">
        <w:t xml:space="preserve">.  An </w:t>
      </w:r>
      <w:r w:rsidR="00073916">
        <w:t xml:space="preserve">example </w:t>
      </w:r>
      <w:r w:rsidR="005978B5">
        <w:t>is,</w:t>
      </w:r>
      <w:r w:rsidR="005D77F8">
        <w:t xml:space="preserve"> in the State’s annual S</w:t>
      </w:r>
      <w:r w:rsidR="00172C14">
        <w:t xml:space="preserve">ummary automobile data </w:t>
      </w:r>
      <w:proofErr w:type="gramStart"/>
      <w:r w:rsidR="00172C14">
        <w:t xml:space="preserve">is </w:t>
      </w:r>
      <w:r w:rsidR="005D77F8">
        <w:t>able to</w:t>
      </w:r>
      <w:proofErr w:type="gramEnd"/>
      <w:r w:rsidR="005D77F8">
        <w:t xml:space="preserve"> be segregated into </w:t>
      </w:r>
      <w:r w:rsidR="00EB51B9">
        <w:t xml:space="preserve">both </w:t>
      </w:r>
      <w:r w:rsidR="00073916">
        <w:t>commercial and private passenger</w:t>
      </w:r>
      <w:r w:rsidR="00EB51B9">
        <w:t xml:space="preserve"> automobile</w:t>
      </w:r>
      <w:r w:rsidR="00073916">
        <w:t>.</w:t>
      </w:r>
      <w:r w:rsidR="005D77F8">
        <w:t xml:space="preserve">  </w:t>
      </w:r>
      <w:r w:rsidR="00863F6A">
        <w:t xml:space="preserve">In the quarterly Summary, however, </w:t>
      </w:r>
      <w:proofErr w:type="gramStart"/>
      <w:r w:rsidR="00863F6A">
        <w:t>commercial</w:t>
      </w:r>
      <w:proofErr w:type="gramEnd"/>
      <w:r w:rsidR="00863F6A">
        <w:t xml:space="preserve"> and private passenger </w:t>
      </w:r>
      <w:r w:rsidR="00EB51B9">
        <w:t xml:space="preserve">automobile </w:t>
      </w:r>
      <w:r w:rsidR="00863F6A">
        <w:t xml:space="preserve">are combined.  </w:t>
      </w:r>
      <w:r w:rsidR="005D77F8">
        <w:t>B</w:t>
      </w:r>
      <w:r w:rsidR="00BA2507">
        <w:t xml:space="preserve">elow is a chart that </w:t>
      </w:r>
      <w:r w:rsidR="00A6001B">
        <w:t>provides</w:t>
      </w:r>
      <w:r w:rsidR="00BA2507">
        <w:t xml:space="preserve"> a comparison </w:t>
      </w:r>
      <w:r w:rsidR="00F061F9">
        <w:t xml:space="preserve">between </w:t>
      </w:r>
      <w:r w:rsidR="00BA2507">
        <w:t xml:space="preserve">the </w:t>
      </w:r>
      <w:r w:rsidR="00EB51B9">
        <w:t xml:space="preserve">treatment </w:t>
      </w:r>
      <w:r w:rsidR="001C2E80">
        <w:t xml:space="preserve">of </w:t>
      </w:r>
      <w:r w:rsidR="00EB51B9">
        <w:t xml:space="preserve">lines of business in the </w:t>
      </w:r>
      <w:r w:rsidR="00863F6A">
        <w:t xml:space="preserve">annual </w:t>
      </w:r>
      <w:r w:rsidR="001905E1">
        <w:t xml:space="preserve">vs. the quarterly </w:t>
      </w:r>
      <w:r w:rsidR="009F5FAF">
        <w:t>Summar</w:t>
      </w:r>
      <w:r w:rsidR="001905E1">
        <w:t>ies</w:t>
      </w:r>
      <w:r w:rsidR="00BA2507">
        <w:t>.</w:t>
      </w:r>
      <w:r w:rsidR="009F5FAF">
        <w:t xml:space="preserve">  The annual Summary lines of business are listed alphabetically.</w:t>
      </w:r>
    </w:p>
    <w:p w14:paraId="6C9B2EA2" w14:textId="77777777" w:rsidR="001C2E80" w:rsidRDefault="001C2E80" w:rsidP="005A2E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533"/>
      </w:tblGrid>
      <w:tr w:rsidR="00C5033E" w:rsidRPr="004B0440" w14:paraId="3BAB9E7B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713DB25E" w14:textId="1B3610B0" w:rsidR="00C5033E" w:rsidRPr="004B0440" w:rsidRDefault="00C5033E" w:rsidP="005A2E3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Annual </w:t>
            </w:r>
            <w:r w:rsidR="005978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P-C </w:t>
            </w:r>
            <w:r w:rsidR="00073916" w:rsidRPr="004B04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Marketplace </w:t>
            </w:r>
            <w:r w:rsidRPr="004B04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Summary </w:t>
            </w:r>
            <w:r w:rsidR="009F5F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0" w:type="auto"/>
            <w:noWrap/>
            <w:hideMark/>
          </w:tcPr>
          <w:p w14:paraId="66F0B70F" w14:textId="14B08352" w:rsidR="00C5033E" w:rsidRPr="004B0440" w:rsidRDefault="00C5033E" w:rsidP="005A2E3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Quarterly </w:t>
            </w:r>
            <w:r w:rsidR="005978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P-C </w:t>
            </w:r>
            <w:r w:rsidR="00073916" w:rsidRPr="004B04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Premium Summary Treatment</w:t>
            </w:r>
          </w:p>
        </w:tc>
      </w:tr>
      <w:tr w:rsidR="00C5033E" w:rsidRPr="004B0440" w14:paraId="7DE98C9E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41EB9AF7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Accident &amp; Health</w:t>
            </w:r>
          </w:p>
        </w:tc>
        <w:tc>
          <w:tcPr>
            <w:tcW w:w="0" w:type="auto"/>
            <w:noWrap/>
            <w:hideMark/>
          </w:tcPr>
          <w:p w14:paraId="06A4DE1C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 "Non-Agent Lines"</w:t>
            </w:r>
          </w:p>
        </w:tc>
      </w:tr>
      <w:tr w:rsidR="00C5033E" w:rsidRPr="004B0440" w14:paraId="4D8B9859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03C48F4D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Aggregate Write-ins</w:t>
            </w:r>
          </w:p>
        </w:tc>
        <w:tc>
          <w:tcPr>
            <w:tcW w:w="0" w:type="auto"/>
            <w:noWrap/>
            <w:hideMark/>
          </w:tcPr>
          <w:p w14:paraId="26BA20DD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 "Non-Agent Lines"</w:t>
            </w:r>
          </w:p>
        </w:tc>
      </w:tr>
      <w:tr w:rsidR="00C5033E" w:rsidRPr="004B0440" w14:paraId="550524D5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7F6074E8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Aircraft (all perils)</w:t>
            </w:r>
          </w:p>
        </w:tc>
        <w:tc>
          <w:tcPr>
            <w:tcW w:w="0" w:type="auto"/>
            <w:noWrap/>
            <w:hideMark/>
          </w:tcPr>
          <w:p w14:paraId="3271DBAC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Aircraft (all perils)</w:t>
            </w:r>
          </w:p>
        </w:tc>
      </w:tr>
      <w:tr w:rsidR="00C5033E" w:rsidRPr="004B0440" w14:paraId="23ED23D6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4162E6EE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Commercial Auto</w:t>
            </w:r>
          </w:p>
        </w:tc>
        <w:tc>
          <w:tcPr>
            <w:tcW w:w="0" w:type="auto"/>
            <w:noWrap/>
            <w:hideMark/>
          </w:tcPr>
          <w:p w14:paraId="0A42135A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Auto</w:t>
            </w:r>
          </w:p>
        </w:tc>
      </w:tr>
      <w:tr w:rsidR="00C5033E" w:rsidRPr="004B0440" w14:paraId="1A8E01BB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5B848ECC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Private Passenger Auto</w:t>
            </w:r>
          </w:p>
        </w:tc>
        <w:tc>
          <w:tcPr>
            <w:tcW w:w="0" w:type="auto"/>
            <w:noWrap/>
            <w:hideMark/>
          </w:tcPr>
          <w:p w14:paraId="076721F2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Auto</w:t>
            </w:r>
          </w:p>
        </w:tc>
      </w:tr>
      <w:tr w:rsidR="00C5033E" w:rsidRPr="004B0440" w14:paraId="2B5CE5A6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54E51AFB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Allied Perils Only</w:t>
            </w:r>
          </w:p>
        </w:tc>
        <w:tc>
          <w:tcPr>
            <w:tcW w:w="0" w:type="auto"/>
            <w:noWrap/>
            <w:hideMark/>
          </w:tcPr>
          <w:p w14:paraId="7448E3ED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 "E.C. </w:t>
            </w:r>
            <w:proofErr w:type="spellStart"/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Perils+Flood+Crop</w:t>
            </w:r>
            <w:proofErr w:type="spellEnd"/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C5033E" w:rsidRPr="004B0440" w14:paraId="332F9549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25E2D02C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Boiler &amp; Machinery</w:t>
            </w:r>
          </w:p>
        </w:tc>
        <w:tc>
          <w:tcPr>
            <w:tcW w:w="0" w:type="auto"/>
            <w:noWrap/>
            <w:hideMark/>
          </w:tcPr>
          <w:p w14:paraId="0958EAAD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Boiler &amp; Machinery</w:t>
            </w:r>
          </w:p>
        </w:tc>
      </w:tr>
      <w:tr w:rsidR="00C5033E" w:rsidRPr="004B0440" w14:paraId="7D76BBF0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437EF254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Burglary &amp; Theft</w:t>
            </w:r>
          </w:p>
        </w:tc>
        <w:tc>
          <w:tcPr>
            <w:tcW w:w="0" w:type="auto"/>
            <w:noWrap/>
            <w:hideMark/>
          </w:tcPr>
          <w:p w14:paraId="78234E10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Burglary &amp; Theft</w:t>
            </w:r>
          </w:p>
        </w:tc>
      </w:tr>
      <w:tr w:rsidR="00C5033E" w:rsidRPr="004B0440" w14:paraId="0CF16B22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4F14D767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Commercial Multi-Peril</w:t>
            </w:r>
          </w:p>
        </w:tc>
        <w:tc>
          <w:tcPr>
            <w:tcW w:w="0" w:type="auto"/>
            <w:noWrap/>
            <w:hideMark/>
          </w:tcPr>
          <w:p w14:paraId="6D9875F0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Commercial Multi-Peril</w:t>
            </w:r>
          </w:p>
        </w:tc>
      </w:tr>
      <w:tr w:rsidR="00C5033E" w:rsidRPr="004B0440" w14:paraId="3C281572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24A79D0B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0" w:type="auto"/>
            <w:noWrap/>
            <w:hideMark/>
          </w:tcPr>
          <w:p w14:paraId="4D40707C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 "Non-Agent Lines"</w:t>
            </w:r>
          </w:p>
        </w:tc>
      </w:tr>
      <w:tr w:rsidR="00C5033E" w:rsidRPr="004B0440" w14:paraId="54A0B47C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68CB8C6E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Earthquake</w:t>
            </w:r>
          </w:p>
        </w:tc>
        <w:tc>
          <w:tcPr>
            <w:tcW w:w="0" w:type="auto"/>
            <w:noWrap/>
            <w:hideMark/>
          </w:tcPr>
          <w:p w14:paraId="63D745E1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Earthquake</w:t>
            </w:r>
          </w:p>
        </w:tc>
      </w:tr>
      <w:tr w:rsidR="00C5033E" w:rsidRPr="004B0440" w14:paraId="008EE8F5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3438DA88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Excess Workers' Comp</w:t>
            </w:r>
          </w:p>
        </w:tc>
        <w:tc>
          <w:tcPr>
            <w:tcW w:w="0" w:type="auto"/>
            <w:noWrap/>
            <w:hideMark/>
          </w:tcPr>
          <w:p w14:paraId="042452F3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Excess Workers' Compensation</w:t>
            </w:r>
          </w:p>
        </w:tc>
      </w:tr>
      <w:tr w:rsidR="00C5033E" w:rsidRPr="004B0440" w14:paraId="42DE991C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058BA6B8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Farmowners Multi-Peril</w:t>
            </w:r>
          </w:p>
        </w:tc>
        <w:tc>
          <w:tcPr>
            <w:tcW w:w="0" w:type="auto"/>
            <w:noWrap/>
            <w:hideMark/>
          </w:tcPr>
          <w:p w14:paraId="59879EA9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Farmowners Multi-Peril</w:t>
            </w:r>
          </w:p>
        </w:tc>
      </w:tr>
      <w:tr w:rsidR="00C5033E" w:rsidRPr="004B0440" w14:paraId="2F28CFC5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70A4AE58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Federal Flood</w:t>
            </w:r>
          </w:p>
        </w:tc>
        <w:tc>
          <w:tcPr>
            <w:tcW w:w="0" w:type="auto"/>
            <w:noWrap/>
            <w:hideMark/>
          </w:tcPr>
          <w:p w14:paraId="78C16ABD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 "E.C. </w:t>
            </w:r>
            <w:proofErr w:type="spellStart"/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Perils+Flood+Crop</w:t>
            </w:r>
            <w:proofErr w:type="spellEnd"/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C5033E" w:rsidRPr="004B0440" w14:paraId="046E2806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4BB77CD3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Fidelity</w:t>
            </w:r>
          </w:p>
        </w:tc>
        <w:tc>
          <w:tcPr>
            <w:tcW w:w="0" w:type="auto"/>
            <w:noWrap/>
            <w:hideMark/>
          </w:tcPr>
          <w:p w14:paraId="593C96B3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Fidelity</w:t>
            </w:r>
          </w:p>
        </w:tc>
      </w:tr>
      <w:tr w:rsidR="00C5033E" w:rsidRPr="004B0440" w14:paraId="3D779A3B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11021D3D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Financial Guaranty</w:t>
            </w:r>
          </w:p>
        </w:tc>
        <w:tc>
          <w:tcPr>
            <w:tcW w:w="0" w:type="auto"/>
            <w:noWrap/>
            <w:hideMark/>
          </w:tcPr>
          <w:p w14:paraId="19286356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 "Non-Agent Lines"</w:t>
            </w:r>
          </w:p>
        </w:tc>
      </w:tr>
      <w:tr w:rsidR="00C5033E" w:rsidRPr="004B0440" w14:paraId="05AB120F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3064A7EB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Fire Peril Only</w:t>
            </w:r>
          </w:p>
        </w:tc>
        <w:tc>
          <w:tcPr>
            <w:tcW w:w="0" w:type="auto"/>
            <w:noWrap/>
            <w:hideMark/>
          </w:tcPr>
          <w:p w14:paraId="208ABE16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Fire Only</w:t>
            </w:r>
          </w:p>
        </w:tc>
      </w:tr>
      <w:tr w:rsidR="00C5033E" w:rsidRPr="004B0440" w14:paraId="5AC6B902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0EE0888B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Homeowners Multi-Peril</w:t>
            </w:r>
          </w:p>
        </w:tc>
        <w:tc>
          <w:tcPr>
            <w:tcW w:w="0" w:type="auto"/>
            <w:noWrap/>
            <w:hideMark/>
          </w:tcPr>
          <w:p w14:paraId="56E2EDB9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Homeowners</w:t>
            </w:r>
          </w:p>
        </w:tc>
      </w:tr>
      <w:tr w:rsidR="00C5033E" w:rsidRPr="004B0440" w14:paraId="6AEE2AE9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14B463A9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Inland Marine</w:t>
            </w:r>
          </w:p>
        </w:tc>
        <w:tc>
          <w:tcPr>
            <w:tcW w:w="0" w:type="auto"/>
            <w:noWrap/>
            <w:hideMark/>
          </w:tcPr>
          <w:p w14:paraId="67600D61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Inland Marine</w:t>
            </w:r>
          </w:p>
        </w:tc>
      </w:tr>
      <w:tr w:rsidR="00C5033E" w:rsidRPr="004B0440" w14:paraId="14457024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4DF12355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0" w:type="auto"/>
            <w:noWrap/>
            <w:hideMark/>
          </w:tcPr>
          <w:p w14:paraId="36E542EE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International</w:t>
            </w:r>
          </w:p>
        </w:tc>
      </w:tr>
      <w:tr w:rsidR="00C5033E" w:rsidRPr="004B0440" w14:paraId="4C54A4C8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46EBDA16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Malpractice</w:t>
            </w:r>
          </w:p>
        </w:tc>
        <w:tc>
          <w:tcPr>
            <w:tcW w:w="0" w:type="auto"/>
            <w:noWrap/>
            <w:hideMark/>
          </w:tcPr>
          <w:p w14:paraId="611A62FE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Malpractice</w:t>
            </w:r>
          </w:p>
        </w:tc>
      </w:tr>
      <w:tr w:rsidR="00C5033E" w:rsidRPr="004B0440" w14:paraId="38EA1093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664265D2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Mortgage Guaranty</w:t>
            </w:r>
          </w:p>
        </w:tc>
        <w:tc>
          <w:tcPr>
            <w:tcW w:w="0" w:type="auto"/>
            <w:noWrap/>
            <w:hideMark/>
          </w:tcPr>
          <w:p w14:paraId="1C4908FA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 "Non-Agent Lines"</w:t>
            </w:r>
          </w:p>
        </w:tc>
      </w:tr>
      <w:tr w:rsidR="00C5033E" w:rsidRPr="004B0440" w14:paraId="29D3C26C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068AA242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Multi-Peril Crop</w:t>
            </w:r>
          </w:p>
        </w:tc>
        <w:tc>
          <w:tcPr>
            <w:tcW w:w="0" w:type="auto"/>
            <w:noWrap/>
            <w:hideMark/>
          </w:tcPr>
          <w:p w14:paraId="0F7F8310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 "E.C. </w:t>
            </w:r>
            <w:proofErr w:type="spellStart"/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Perils+Flood+Crop</w:t>
            </w:r>
            <w:proofErr w:type="spellEnd"/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C5033E" w:rsidRPr="004B0440" w14:paraId="6C2B4E1D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3BD67942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Ocean Marine</w:t>
            </w:r>
          </w:p>
        </w:tc>
        <w:tc>
          <w:tcPr>
            <w:tcW w:w="0" w:type="auto"/>
            <w:noWrap/>
            <w:hideMark/>
          </w:tcPr>
          <w:p w14:paraId="2DF6B284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Ocean Marine</w:t>
            </w:r>
          </w:p>
        </w:tc>
      </w:tr>
      <w:tr w:rsidR="00C5033E" w:rsidRPr="004B0440" w14:paraId="28CDE4B9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54609868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 Liability (Claims-made)</w:t>
            </w:r>
          </w:p>
        </w:tc>
        <w:tc>
          <w:tcPr>
            <w:tcW w:w="0" w:type="auto"/>
            <w:noWrap/>
            <w:hideMark/>
          </w:tcPr>
          <w:p w14:paraId="18C3C0F3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 Liability (Claims-made)</w:t>
            </w:r>
          </w:p>
        </w:tc>
      </w:tr>
      <w:tr w:rsidR="00C5033E" w:rsidRPr="004B0440" w14:paraId="7C3D7B60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7DCC5AC1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 Liability (Occurrence)</w:t>
            </w:r>
          </w:p>
        </w:tc>
        <w:tc>
          <w:tcPr>
            <w:tcW w:w="0" w:type="auto"/>
            <w:noWrap/>
            <w:hideMark/>
          </w:tcPr>
          <w:p w14:paraId="23C29E3E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 Liability (Occurrence)</w:t>
            </w:r>
          </w:p>
        </w:tc>
      </w:tr>
      <w:tr w:rsidR="00C5033E" w:rsidRPr="004B0440" w14:paraId="2A87AE9B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5DB2FD52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Private Crop</w:t>
            </w:r>
          </w:p>
        </w:tc>
        <w:tc>
          <w:tcPr>
            <w:tcW w:w="0" w:type="auto"/>
            <w:noWrap/>
            <w:hideMark/>
          </w:tcPr>
          <w:p w14:paraId="36AD1EE9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 "E.C. </w:t>
            </w:r>
            <w:proofErr w:type="spellStart"/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Perils+Flood+Crop</w:t>
            </w:r>
            <w:proofErr w:type="spellEnd"/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C5033E" w:rsidRPr="004B0440" w14:paraId="319DAB2D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3242419B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Private Flood</w:t>
            </w:r>
          </w:p>
        </w:tc>
        <w:tc>
          <w:tcPr>
            <w:tcW w:w="0" w:type="auto"/>
            <w:noWrap/>
            <w:hideMark/>
          </w:tcPr>
          <w:p w14:paraId="32DBB439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 "E.C. </w:t>
            </w:r>
            <w:proofErr w:type="spellStart"/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Perils+Flood+Crop</w:t>
            </w:r>
            <w:proofErr w:type="spellEnd"/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C5033E" w:rsidRPr="004B0440" w14:paraId="6178B6D9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08BCA73B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Products Liability</w:t>
            </w:r>
          </w:p>
        </w:tc>
        <w:tc>
          <w:tcPr>
            <w:tcW w:w="0" w:type="auto"/>
            <w:noWrap/>
            <w:hideMark/>
          </w:tcPr>
          <w:p w14:paraId="486839A8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Products Liability</w:t>
            </w:r>
          </w:p>
        </w:tc>
      </w:tr>
      <w:tr w:rsidR="00C5033E" w:rsidRPr="004B0440" w14:paraId="00232186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6F0B9459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Surety</w:t>
            </w:r>
          </w:p>
        </w:tc>
        <w:tc>
          <w:tcPr>
            <w:tcW w:w="0" w:type="auto"/>
            <w:noWrap/>
            <w:hideMark/>
          </w:tcPr>
          <w:p w14:paraId="2A46FB4A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Surety</w:t>
            </w:r>
          </w:p>
        </w:tc>
      </w:tr>
      <w:tr w:rsidR="00C5033E" w:rsidRPr="004B0440" w14:paraId="6847F577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5EC9CAC6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Warranty</w:t>
            </w:r>
          </w:p>
        </w:tc>
        <w:tc>
          <w:tcPr>
            <w:tcW w:w="0" w:type="auto"/>
            <w:noWrap/>
            <w:hideMark/>
          </w:tcPr>
          <w:p w14:paraId="7E74F780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 "Non-Agent Lines"</w:t>
            </w:r>
          </w:p>
        </w:tc>
      </w:tr>
      <w:tr w:rsidR="00C5033E" w:rsidRPr="004B0440" w14:paraId="23529BF4" w14:textId="77777777" w:rsidTr="005A2E34">
        <w:trPr>
          <w:trHeight w:val="20"/>
        </w:trPr>
        <w:tc>
          <w:tcPr>
            <w:tcW w:w="0" w:type="auto"/>
            <w:noWrap/>
            <w:hideMark/>
          </w:tcPr>
          <w:p w14:paraId="2BA0BBC3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Workers' Compensation</w:t>
            </w:r>
          </w:p>
        </w:tc>
        <w:tc>
          <w:tcPr>
            <w:tcW w:w="0" w:type="auto"/>
            <w:noWrap/>
            <w:hideMark/>
          </w:tcPr>
          <w:p w14:paraId="504FE009" w14:textId="77777777" w:rsidR="00C5033E" w:rsidRPr="004B0440" w:rsidRDefault="00C5033E" w:rsidP="005A2E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04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Workers' Compensation</w:t>
            </w:r>
          </w:p>
        </w:tc>
      </w:tr>
    </w:tbl>
    <w:p w14:paraId="4F91F219" w14:textId="6C714667" w:rsidR="00C5033E" w:rsidRPr="00CD5572" w:rsidRDefault="00F061F9" w:rsidP="00FB6AD2">
      <w:pPr>
        <w:pStyle w:val="Heading2-NoCollapsing"/>
      </w:pPr>
      <w:r>
        <w:lastRenderedPageBreak/>
        <w:t xml:space="preserve">Total </w:t>
      </w:r>
      <w:r w:rsidR="00C5033E" w:rsidRPr="00CD5572">
        <w:t>Premium Differences</w:t>
      </w:r>
    </w:p>
    <w:p w14:paraId="2CDEEA3D" w14:textId="22FD5B91" w:rsidR="00D438B6" w:rsidRDefault="006C1AED" w:rsidP="00FB187C">
      <w:r>
        <w:t xml:space="preserve">A detail-oriented reader may notice some slight differences in premium totals between the </w:t>
      </w:r>
      <w:r w:rsidR="001C2E80">
        <w:t xml:space="preserve">what is reported in the </w:t>
      </w:r>
      <w:r w:rsidR="005D2F59" w:rsidRPr="00742521">
        <w:rPr>
          <w:b/>
          <w:bCs/>
          <w:i/>
          <w:iCs/>
        </w:rPr>
        <w:t xml:space="preserve">2021 </w:t>
      </w:r>
      <w:r w:rsidR="00006B17">
        <w:rPr>
          <w:b/>
          <w:bCs/>
          <w:i/>
          <w:iCs/>
        </w:rPr>
        <w:t>Nebraska</w:t>
      </w:r>
      <w:r w:rsidR="005D2F59" w:rsidRPr="00742521">
        <w:rPr>
          <w:b/>
          <w:bCs/>
          <w:i/>
          <w:iCs/>
        </w:rPr>
        <w:t xml:space="preserve"> P-C Marketplace Summary</w:t>
      </w:r>
      <w:r w:rsidR="005D2F59">
        <w:t xml:space="preserve"> </w:t>
      </w:r>
      <w:r w:rsidR="001905E1">
        <w:t>vs.</w:t>
      </w:r>
      <w:r w:rsidR="005D2F59">
        <w:t xml:space="preserve"> the </w:t>
      </w:r>
      <w:r w:rsidR="00006B17">
        <w:rPr>
          <w:b/>
          <w:bCs/>
          <w:i/>
          <w:iCs/>
        </w:rPr>
        <w:t>Nebraska</w:t>
      </w:r>
      <w:r w:rsidR="005D2F59">
        <w:rPr>
          <w:b/>
          <w:bCs/>
          <w:i/>
          <w:iCs/>
        </w:rPr>
        <w:t xml:space="preserve"> 2022-Quarterly P-C Premium Summary</w:t>
      </w:r>
      <w:r w:rsidR="00AC1A66">
        <w:rPr>
          <w:b/>
          <w:bCs/>
          <w:i/>
          <w:iCs/>
        </w:rPr>
        <w:t xml:space="preserve"> – </w:t>
      </w:r>
      <w:r w:rsidR="005D2F59">
        <w:rPr>
          <w:b/>
          <w:bCs/>
          <w:i/>
          <w:iCs/>
        </w:rPr>
        <w:t>Q1.</w:t>
      </w:r>
      <w:r w:rsidR="005D2F59">
        <w:t xml:space="preserve"> </w:t>
      </w:r>
      <w:r w:rsidR="001905E1">
        <w:t xml:space="preserve"> </w:t>
      </w:r>
      <w:r>
        <w:t xml:space="preserve">The reason is </w:t>
      </w:r>
      <w:r w:rsidR="005D2F59">
        <w:t xml:space="preserve">that </w:t>
      </w:r>
      <w:r>
        <w:t xml:space="preserve">in annual statutory statements insurers provide </w:t>
      </w:r>
      <w:r w:rsidR="00176D2D">
        <w:t>a page that is known as Statutory Page 14</w:t>
      </w:r>
      <w:r w:rsidR="00D438B6">
        <w:t>.  This Page</w:t>
      </w:r>
      <w:r w:rsidR="001C2E80">
        <w:t xml:space="preserve"> </w:t>
      </w:r>
      <w:r w:rsidR="00D438B6">
        <w:t xml:space="preserve">14 </w:t>
      </w:r>
      <w:r w:rsidR="00176D2D">
        <w:t>provides premium</w:t>
      </w:r>
      <w:r w:rsidR="001C2E80">
        <w:t xml:space="preserve"> data</w:t>
      </w:r>
      <w:r w:rsidR="00D438B6">
        <w:t xml:space="preserve"> and a convenient premium total </w:t>
      </w:r>
      <w:r w:rsidR="00176D2D">
        <w:t>for each of the 50 states and the District of Columb</w:t>
      </w:r>
      <w:r w:rsidR="001C2E80">
        <w:t>i</w:t>
      </w:r>
      <w:r w:rsidR="00176D2D">
        <w:t>a.</w:t>
      </w:r>
    </w:p>
    <w:p w14:paraId="1C6EC7D9" w14:textId="7FFB420E" w:rsidR="00176D2D" w:rsidRDefault="00176D2D" w:rsidP="00FB187C">
      <w:r>
        <w:t xml:space="preserve">With the quarterly reports there is no </w:t>
      </w:r>
      <w:r w:rsidR="00325CDD">
        <w:t>Statutory Page 14</w:t>
      </w:r>
      <w:r>
        <w:t xml:space="preserve">.  </w:t>
      </w:r>
      <w:r w:rsidR="005D2F59">
        <w:t>Instead, t</w:t>
      </w:r>
      <w:r>
        <w:t xml:space="preserve">o get </w:t>
      </w:r>
      <w:r w:rsidR="00D438B6">
        <w:t xml:space="preserve">to </w:t>
      </w:r>
      <w:r>
        <w:t>premium totals for each insurer each quarter</w:t>
      </w:r>
      <w:r w:rsidR="00D438B6">
        <w:t>,</w:t>
      </w:r>
      <w:r>
        <w:t xml:space="preserve"> a different page called Schedule T</w:t>
      </w:r>
      <w:r w:rsidR="00D438B6">
        <w:t xml:space="preserve"> is used</w:t>
      </w:r>
      <w:r>
        <w:t xml:space="preserve">.  That page only provides a </w:t>
      </w:r>
      <w:r w:rsidR="002543F0">
        <w:t>t</w:t>
      </w:r>
      <w:r>
        <w:t xml:space="preserve">otal </w:t>
      </w:r>
      <w:r w:rsidR="002543F0">
        <w:t xml:space="preserve">premium </w:t>
      </w:r>
      <w:r>
        <w:t>that includes the 50 states</w:t>
      </w:r>
      <w:r w:rsidR="002543F0">
        <w:t xml:space="preserve"> </w:t>
      </w:r>
      <w:r>
        <w:t>and the District of Columbia</w:t>
      </w:r>
      <w:r w:rsidR="002543F0">
        <w:t>,</w:t>
      </w:r>
      <w:r>
        <w:t xml:space="preserve"> plus United States territories, </w:t>
      </w:r>
      <w:proofErr w:type="gramStart"/>
      <w:r>
        <w:t>Canada</w:t>
      </w:r>
      <w:proofErr w:type="gramEnd"/>
      <w:r>
        <w:t xml:space="preserve"> and alien jurisdictions.  The addition of the United States territories, Canada and alien jurisdictions in the total adds about 1.5% </w:t>
      </w:r>
      <w:r w:rsidR="00325CDD">
        <w:t xml:space="preserve">to the </w:t>
      </w:r>
      <w:r>
        <w:t>total premiums.</w:t>
      </w:r>
    </w:p>
    <w:p w14:paraId="2D018CE3" w14:textId="607F7D83" w:rsidR="00C5033E" w:rsidRDefault="00DD321B" w:rsidP="00636E44">
      <w:pPr>
        <w:spacing w:after="240"/>
        <w:rPr>
          <w:b/>
          <w:bCs/>
          <w:i/>
          <w:iCs/>
        </w:rPr>
      </w:pPr>
      <w:r>
        <w:t>F</w:t>
      </w:r>
      <w:r w:rsidR="00C34948">
        <w:t>or clarity, b</w:t>
      </w:r>
      <w:r w:rsidR="00782599">
        <w:t xml:space="preserve">elow are </w:t>
      </w:r>
      <w:r w:rsidR="00776F3B">
        <w:t xml:space="preserve">the total premiums in the </w:t>
      </w:r>
      <w:r w:rsidR="00C76B4C">
        <w:t>United States</w:t>
      </w:r>
      <w:r w:rsidR="00776F3B">
        <w:t xml:space="preserve"> </w:t>
      </w:r>
      <w:r w:rsidR="00DA39C2">
        <w:t xml:space="preserve">for </w:t>
      </w:r>
      <w:r w:rsidR="00782599">
        <w:t xml:space="preserve">all lines of </w:t>
      </w:r>
      <w:r w:rsidR="00776F3B">
        <w:t xml:space="preserve">business </w:t>
      </w:r>
      <w:r w:rsidR="00C34948">
        <w:t xml:space="preserve">from the annual </w:t>
      </w:r>
      <w:r w:rsidR="002543F0" w:rsidRPr="00742521">
        <w:rPr>
          <w:b/>
          <w:bCs/>
          <w:i/>
          <w:iCs/>
        </w:rPr>
        <w:t xml:space="preserve">2021 </w:t>
      </w:r>
      <w:r w:rsidR="00006B17">
        <w:rPr>
          <w:b/>
          <w:bCs/>
          <w:i/>
          <w:iCs/>
        </w:rPr>
        <w:t>Nebraska</w:t>
      </w:r>
      <w:r w:rsidR="002543F0" w:rsidRPr="00742521">
        <w:rPr>
          <w:b/>
          <w:bCs/>
          <w:i/>
          <w:iCs/>
        </w:rPr>
        <w:t xml:space="preserve"> P-C Marketplace Summary</w:t>
      </w:r>
      <w:r w:rsidR="002543F0">
        <w:rPr>
          <w:b/>
          <w:bCs/>
          <w:i/>
          <w:iCs/>
        </w:rPr>
        <w:t>,</w:t>
      </w:r>
      <w:r w:rsidR="002543F0">
        <w:t xml:space="preserve"> </w:t>
      </w:r>
      <w:r w:rsidR="00C34948">
        <w:t xml:space="preserve">and the aggregation of the </w:t>
      </w:r>
      <w:r>
        <w:t xml:space="preserve">4 quarters </w:t>
      </w:r>
      <w:r w:rsidR="005D2F59">
        <w:t xml:space="preserve">of </w:t>
      </w:r>
      <w:r>
        <w:t>the same year</w:t>
      </w:r>
      <w:r w:rsidR="002543F0" w:rsidRPr="002543F0">
        <w:rPr>
          <w:b/>
          <w:bCs/>
          <w:i/>
          <w:iCs/>
        </w:rPr>
        <w:t xml:space="preserve"> </w:t>
      </w:r>
      <w:r w:rsidR="005D2F59" w:rsidRPr="005D2F59">
        <w:t>from the</w:t>
      </w:r>
      <w:r w:rsidR="005D2F59">
        <w:rPr>
          <w:b/>
          <w:bCs/>
          <w:i/>
          <w:iCs/>
        </w:rPr>
        <w:t xml:space="preserve"> </w:t>
      </w:r>
      <w:r w:rsidR="00006B17">
        <w:rPr>
          <w:b/>
          <w:bCs/>
          <w:i/>
          <w:iCs/>
        </w:rPr>
        <w:t>Nebraska</w:t>
      </w:r>
      <w:r w:rsidR="00561C26">
        <w:rPr>
          <w:b/>
          <w:bCs/>
          <w:i/>
          <w:iCs/>
        </w:rPr>
        <w:t xml:space="preserve"> 2022</w:t>
      </w:r>
      <w:r w:rsidR="005D2F59">
        <w:rPr>
          <w:b/>
          <w:bCs/>
          <w:i/>
          <w:iCs/>
        </w:rPr>
        <w:t xml:space="preserve"> </w:t>
      </w:r>
      <w:r w:rsidR="00561C26">
        <w:rPr>
          <w:b/>
          <w:bCs/>
          <w:i/>
          <w:iCs/>
        </w:rPr>
        <w:t>Quarterly P-C Premium Summary</w:t>
      </w:r>
      <w:r w:rsidR="00AC1A66">
        <w:rPr>
          <w:b/>
          <w:bCs/>
          <w:i/>
          <w:iCs/>
        </w:rPr>
        <w:t xml:space="preserve"> – </w:t>
      </w:r>
      <w:r w:rsidR="00561C26">
        <w:rPr>
          <w:b/>
          <w:bCs/>
          <w:i/>
          <w:iCs/>
        </w:rPr>
        <w:t>Q1</w:t>
      </w:r>
      <w:r w:rsidR="002543F0">
        <w:rPr>
          <w:b/>
          <w:bCs/>
          <w:i/>
          <w:iCs/>
        </w:rPr>
        <w:t>.</w:t>
      </w:r>
    </w:p>
    <w:tbl>
      <w:tblPr>
        <w:tblStyle w:val="TableGrid"/>
        <w:tblW w:w="4906" w:type="pct"/>
        <w:tblLook w:val="04A0" w:firstRow="1" w:lastRow="0" w:firstColumn="1" w:lastColumn="0" w:noHBand="0" w:noVBand="1"/>
      </w:tblPr>
      <w:tblGrid>
        <w:gridCol w:w="2067"/>
        <w:gridCol w:w="2340"/>
        <w:gridCol w:w="2250"/>
        <w:gridCol w:w="2517"/>
      </w:tblGrid>
      <w:tr w:rsidR="002543F0" w:rsidRPr="006B0D31" w14:paraId="74F8908D" w14:textId="7FCF97B0" w:rsidTr="00636E44">
        <w:tc>
          <w:tcPr>
            <w:tcW w:w="1126" w:type="pct"/>
          </w:tcPr>
          <w:p w14:paraId="6D410330" w14:textId="53D768DD" w:rsidR="002543F0" w:rsidRPr="006B0D31" w:rsidRDefault="002543F0" w:rsidP="002543F0">
            <w:pPr>
              <w:rPr>
                <w:b/>
                <w:bCs/>
              </w:rPr>
            </w:pPr>
            <w:r w:rsidRPr="006B0D31">
              <w:rPr>
                <w:b/>
                <w:bCs/>
              </w:rPr>
              <w:t>All Lines of Business</w:t>
            </w:r>
          </w:p>
        </w:tc>
        <w:tc>
          <w:tcPr>
            <w:tcW w:w="1275" w:type="pct"/>
          </w:tcPr>
          <w:p w14:paraId="7587C75F" w14:textId="17985664" w:rsidR="002543F0" w:rsidRPr="006B0D31" w:rsidRDefault="002543F0" w:rsidP="002543F0">
            <w:pPr>
              <w:jc w:val="center"/>
              <w:rPr>
                <w:b/>
                <w:bCs/>
              </w:rPr>
            </w:pPr>
            <w:r w:rsidRPr="006B0D31">
              <w:rPr>
                <w:b/>
                <w:bCs/>
              </w:rPr>
              <w:t>2021 Annual Summary</w:t>
            </w:r>
            <w:r>
              <w:rPr>
                <w:b/>
                <w:bCs/>
              </w:rPr>
              <w:br/>
              <w:t>(Statutory Page 14)</w:t>
            </w:r>
          </w:p>
        </w:tc>
        <w:tc>
          <w:tcPr>
            <w:tcW w:w="1226" w:type="pct"/>
          </w:tcPr>
          <w:p w14:paraId="745C4F6D" w14:textId="2B31C47A" w:rsidR="002543F0" w:rsidRPr="006B0D31" w:rsidRDefault="002543F0" w:rsidP="002543F0">
            <w:pPr>
              <w:jc w:val="center"/>
              <w:rPr>
                <w:b/>
                <w:bCs/>
              </w:rPr>
            </w:pPr>
            <w:r w:rsidRPr="006B0D31">
              <w:rPr>
                <w:b/>
                <w:bCs/>
              </w:rPr>
              <w:t>Quarterly Summar</w:t>
            </w:r>
            <w:r>
              <w:rPr>
                <w:b/>
                <w:bCs/>
              </w:rPr>
              <w:t>ies</w:t>
            </w:r>
            <w:r>
              <w:rPr>
                <w:b/>
                <w:bCs/>
              </w:rPr>
              <w:br/>
              <w:t>(Schedule T)</w:t>
            </w:r>
          </w:p>
        </w:tc>
        <w:tc>
          <w:tcPr>
            <w:tcW w:w="1372" w:type="pct"/>
          </w:tcPr>
          <w:p w14:paraId="59FB2DCD" w14:textId="42D04EC0" w:rsidR="002543F0" w:rsidRPr="006B0D31" w:rsidRDefault="002543F0" w:rsidP="002543F0">
            <w:pPr>
              <w:jc w:val="center"/>
              <w:rPr>
                <w:b/>
                <w:bCs/>
              </w:rPr>
            </w:pPr>
            <w:r w:rsidRPr="006B0D31">
              <w:rPr>
                <w:b/>
                <w:bCs/>
              </w:rPr>
              <w:t>Difference</w:t>
            </w:r>
            <w:r w:rsidR="00636E44">
              <w:rPr>
                <w:b/>
                <w:bCs/>
              </w:rPr>
              <w:t xml:space="preserve"> (*)</w:t>
            </w:r>
          </w:p>
        </w:tc>
      </w:tr>
      <w:tr w:rsidR="002543F0" w14:paraId="17EE9B9C" w14:textId="702C2919" w:rsidTr="00636E44">
        <w:tc>
          <w:tcPr>
            <w:tcW w:w="1126" w:type="pct"/>
          </w:tcPr>
          <w:p w14:paraId="7ECE79F7" w14:textId="55029AE5" w:rsidR="002543F0" w:rsidRDefault="002543F0" w:rsidP="002543F0">
            <w:r>
              <w:t>United States</w:t>
            </w:r>
          </w:p>
        </w:tc>
        <w:tc>
          <w:tcPr>
            <w:tcW w:w="1275" w:type="pct"/>
          </w:tcPr>
          <w:p w14:paraId="2C5A1BF0" w14:textId="35E74B2D" w:rsidR="002543F0" w:rsidRDefault="002543F0" w:rsidP="002543F0">
            <w:pPr>
              <w:jc w:val="center"/>
            </w:pPr>
            <w:r>
              <w:t>$</w:t>
            </w:r>
            <w:r w:rsidRPr="00A53E36">
              <w:t>785,288,646,000</w:t>
            </w:r>
          </w:p>
        </w:tc>
        <w:tc>
          <w:tcPr>
            <w:tcW w:w="1226" w:type="pct"/>
          </w:tcPr>
          <w:p w14:paraId="6C1AA050" w14:textId="2F4B45FA" w:rsidR="002543F0" w:rsidRDefault="002543F0" w:rsidP="002543F0">
            <w:pPr>
              <w:jc w:val="center"/>
            </w:pPr>
            <w:r w:rsidRPr="00A53E36">
              <w:t>$798,849,370,00</w:t>
            </w:r>
            <w:r>
              <w:t>0</w:t>
            </w:r>
          </w:p>
        </w:tc>
        <w:tc>
          <w:tcPr>
            <w:tcW w:w="1372" w:type="pct"/>
          </w:tcPr>
          <w:p w14:paraId="6931A39C" w14:textId="54200989" w:rsidR="002543F0" w:rsidRDefault="002543F0" w:rsidP="002543F0">
            <w:pPr>
              <w:jc w:val="center"/>
            </w:pPr>
            <w:r>
              <w:t>$13,560,724,000 (1.5%)</w:t>
            </w:r>
          </w:p>
        </w:tc>
      </w:tr>
    </w:tbl>
    <w:p w14:paraId="184FEFE9" w14:textId="2CE8056D" w:rsidR="00636E44" w:rsidRPr="00636E44" w:rsidRDefault="00636E44" w:rsidP="00636E44">
      <w:pPr>
        <w:rPr>
          <w:sz w:val="18"/>
          <w:szCs w:val="18"/>
        </w:rPr>
      </w:pPr>
      <w:r w:rsidRPr="00636E44">
        <w:rPr>
          <w:sz w:val="18"/>
          <w:szCs w:val="18"/>
        </w:rPr>
        <w:t xml:space="preserve">(*) Difference is </w:t>
      </w:r>
      <w:r w:rsidR="004B4164">
        <w:rPr>
          <w:sz w:val="18"/>
          <w:szCs w:val="18"/>
        </w:rPr>
        <w:t xml:space="preserve">premiums </w:t>
      </w:r>
      <w:r w:rsidRPr="00636E44">
        <w:rPr>
          <w:sz w:val="18"/>
          <w:szCs w:val="18"/>
        </w:rPr>
        <w:t>in Alien jurisdictions (40%), Canada (33%), Puerto Rico (20%) and remainder Guam, U.S. Virgin Islands and Norther Mariana Islands.</w:t>
      </w:r>
    </w:p>
    <w:p w14:paraId="271D7D5F" w14:textId="4C69F7B0" w:rsidR="003175A4" w:rsidRPr="00FB6AD2" w:rsidRDefault="003175A4" w:rsidP="00FB6AD2">
      <w:pPr>
        <w:pStyle w:val="Heading2-NoCollapsing"/>
      </w:pPr>
      <w:r w:rsidRPr="00FB6AD2">
        <w:t>Time Period Differences</w:t>
      </w:r>
    </w:p>
    <w:p w14:paraId="47EB28F7" w14:textId="4EAF016B" w:rsidR="00DC4B3E" w:rsidRDefault="00CA1664" w:rsidP="003175A4">
      <w:r>
        <w:t xml:space="preserve">In the annual </w:t>
      </w:r>
      <w:r w:rsidRPr="00742521">
        <w:rPr>
          <w:b/>
          <w:bCs/>
          <w:i/>
          <w:iCs/>
        </w:rPr>
        <w:t xml:space="preserve">2021 </w:t>
      </w:r>
      <w:r w:rsidR="00006B17">
        <w:rPr>
          <w:b/>
          <w:bCs/>
          <w:i/>
          <w:iCs/>
        </w:rPr>
        <w:t>Nebraska</w:t>
      </w:r>
      <w:r w:rsidRPr="00742521">
        <w:rPr>
          <w:b/>
          <w:bCs/>
          <w:i/>
          <w:iCs/>
        </w:rPr>
        <w:t xml:space="preserve"> P-C Marketplace Summary</w:t>
      </w:r>
      <w:r>
        <w:t xml:space="preserve"> </w:t>
      </w:r>
      <w:r w:rsidR="00E768E7">
        <w:t xml:space="preserve">the most recent </w:t>
      </w:r>
      <w:r>
        <w:t xml:space="preserve">5 years of data are presented.  </w:t>
      </w:r>
      <w:r w:rsidR="00E26A5A">
        <w:t>T</w:t>
      </w:r>
      <w:r>
        <w:t xml:space="preserve">he </w:t>
      </w:r>
      <w:r w:rsidR="00006B17">
        <w:rPr>
          <w:b/>
          <w:bCs/>
          <w:i/>
          <w:iCs/>
        </w:rPr>
        <w:t>Nebraska</w:t>
      </w:r>
      <w:r w:rsidR="00561C26">
        <w:rPr>
          <w:b/>
          <w:bCs/>
          <w:i/>
          <w:iCs/>
        </w:rPr>
        <w:t xml:space="preserve"> 2022-Quarterly P-C Premium Summary</w:t>
      </w:r>
      <w:r w:rsidR="00AC1A66">
        <w:rPr>
          <w:b/>
          <w:bCs/>
          <w:i/>
          <w:iCs/>
        </w:rPr>
        <w:t xml:space="preserve"> – </w:t>
      </w:r>
      <w:r w:rsidR="00561C26">
        <w:rPr>
          <w:b/>
          <w:bCs/>
          <w:i/>
          <w:iCs/>
        </w:rPr>
        <w:t>Q1</w:t>
      </w:r>
      <w:r>
        <w:t xml:space="preserve"> </w:t>
      </w:r>
      <w:r w:rsidR="00E768E7">
        <w:t>uses</w:t>
      </w:r>
      <w:r>
        <w:t xml:space="preserve"> </w:t>
      </w:r>
      <w:r w:rsidR="00E26A5A">
        <w:t xml:space="preserve">the most recent </w:t>
      </w:r>
      <w:r>
        <w:t>4 years and one additional quarter of data</w:t>
      </w:r>
      <w:r w:rsidR="00E768E7">
        <w:t xml:space="preserve"> (17 quarters)</w:t>
      </w:r>
      <w:r>
        <w:t xml:space="preserve">.  </w:t>
      </w:r>
      <w:r w:rsidR="00DC4B3E">
        <w:t>A.M. Best Financial Suite</w:t>
      </w:r>
      <w:r w:rsidR="00F162CE">
        <w:t>’s</w:t>
      </w:r>
      <w:r w:rsidR="00DC4B3E">
        <w:t xml:space="preserve"> quarterly data contains </w:t>
      </w:r>
      <w:r w:rsidR="00E768E7">
        <w:t>18 quarters, which is less than 5 years</w:t>
      </w:r>
      <w:r w:rsidR="00F162CE">
        <w:t>, as opposed to the 11 years of data available in A.M. Best Financial Suite’s annual data.</w:t>
      </w:r>
    </w:p>
    <w:p w14:paraId="2F86B835" w14:textId="7DFD4D3F" w:rsidR="00C5033E" w:rsidRPr="00CD5572" w:rsidRDefault="00C5033E" w:rsidP="00FB6AD2">
      <w:pPr>
        <w:pStyle w:val="Heading2-NoCollapsing"/>
      </w:pPr>
      <w:r w:rsidRPr="00CD5572">
        <w:t>Distribution Styles</w:t>
      </w:r>
      <w:r w:rsidR="003175A4">
        <w:t xml:space="preserve"> Similarities</w:t>
      </w:r>
    </w:p>
    <w:p w14:paraId="5E5597A1" w14:textId="7DEDA34C" w:rsidR="00C5033E" w:rsidRDefault="00C5033E" w:rsidP="005A2E34">
      <w:r>
        <w:t xml:space="preserve">The same approach to classifications of insurers by distribution style </w:t>
      </w:r>
      <w:r w:rsidR="00E26A5A">
        <w:t>is</w:t>
      </w:r>
      <w:r>
        <w:t xml:space="preserve"> used in </w:t>
      </w:r>
      <w:r w:rsidR="00E26A5A">
        <w:t xml:space="preserve">the </w:t>
      </w:r>
      <w:r w:rsidR="00006B17">
        <w:rPr>
          <w:b/>
          <w:bCs/>
          <w:i/>
          <w:iCs/>
        </w:rPr>
        <w:t>Nebraska</w:t>
      </w:r>
      <w:r w:rsidR="00561C26">
        <w:rPr>
          <w:b/>
          <w:bCs/>
          <w:i/>
          <w:iCs/>
        </w:rPr>
        <w:t xml:space="preserve"> 2022-Quarterly P-C Premium Summary</w:t>
      </w:r>
      <w:r w:rsidR="00AC1A66">
        <w:rPr>
          <w:b/>
          <w:bCs/>
          <w:i/>
          <w:iCs/>
        </w:rPr>
        <w:t xml:space="preserve"> – </w:t>
      </w:r>
      <w:r w:rsidR="00561C26">
        <w:rPr>
          <w:b/>
          <w:bCs/>
          <w:i/>
          <w:iCs/>
        </w:rPr>
        <w:t>Q1</w:t>
      </w:r>
      <w:r>
        <w:t xml:space="preserve"> as in the annual </w:t>
      </w:r>
      <w:r w:rsidR="00E26A5A" w:rsidRPr="00742521">
        <w:rPr>
          <w:b/>
          <w:bCs/>
          <w:i/>
          <w:iCs/>
        </w:rPr>
        <w:t xml:space="preserve">2021 </w:t>
      </w:r>
      <w:r w:rsidR="00006B17">
        <w:rPr>
          <w:b/>
          <w:bCs/>
          <w:i/>
          <w:iCs/>
        </w:rPr>
        <w:t>Nebraska</w:t>
      </w:r>
      <w:r w:rsidR="00E26A5A" w:rsidRPr="00742521">
        <w:rPr>
          <w:b/>
          <w:bCs/>
          <w:i/>
          <w:iCs/>
        </w:rPr>
        <w:t xml:space="preserve"> P-C Marketplace Summary</w:t>
      </w:r>
      <w:r>
        <w:t xml:space="preserve">.  As with the annual </w:t>
      </w:r>
      <w:r w:rsidR="00E26A5A">
        <w:t>S</w:t>
      </w:r>
      <w:r>
        <w:t xml:space="preserve">ummary, </w:t>
      </w:r>
      <w:r w:rsidR="007C7B77">
        <w:t xml:space="preserve">there are 6 </w:t>
      </w:r>
      <w:r>
        <w:t xml:space="preserve">classifications </w:t>
      </w:r>
      <w:r w:rsidR="007C7B77">
        <w:t>of insurers into distribution styles</w:t>
      </w:r>
      <w:r w:rsidR="00E26A5A">
        <w:t>.  T</w:t>
      </w:r>
      <w:r w:rsidR="00B745E9">
        <w:t>hey are listed below</w:t>
      </w:r>
      <w:r w:rsidR="007C7B77">
        <w:t xml:space="preserve">.  The annual </w:t>
      </w:r>
      <w:r w:rsidR="00E26A5A">
        <w:t>S</w:t>
      </w:r>
      <w:r w:rsidR="007C7B77">
        <w:t>ummary contains more information on the classification of insurers</w:t>
      </w:r>
      <w:r w:rsidR="00E26A5A">
        <w:t>,</w:t>
      </w:r>
      <w:r w:rsidR="007C7B77">
        <w:t xml:space="preserve"> </w:t>
      </w:r>
      <w:r w:rsidR="00B745E9">
        <w:t xml:space="preserve">based on reported Marketing types.  </w:t>
      </w:r>
      <w:r w:rsidR="00E26A5A">
        <w:t xml:space="preserve">Interested readers should </w:t>
      </w:r>
      <w:r w:rsidR="007C7B77">
        <w:t xml:space="preserve">refer to the </w:t>
      </w:r>
      <w:r w:rsidR="0091381D">
        <w:t xml:space="preserve">annual </w:t>
      </w:r>
      <w:r w:rsidR="00E26A5A" w:rsidRPr="003B7A06">
        <w:t xml:space="preserve">Summary and </w:t>
      </w:r>
      <w:r w:rsidR="003B7A06" w:rsidRPr="003B7A06">
        <w:t xml:space="preserve">its </w:t>
      </w:r>
      <w:r w:rsidR="007C7B77" w:rsidRPr="003B7A06">
        <w:rPr>
          <w:i/>
          <w:iCs/>
        </w:rPr>
        <w:t>Appendix #2</w:t>
      </w:r>
      <w:r w:rsidR="00B745E9" w:rsidRPr="003B7A06">
        <w:rPr>
          <w:i/>
          <w:iCs/>
        </w:rPr>
        <w:t>: Distribution Style Classifications</w:t>
      </w:r>
      <w:r w:rsidR="00296BCE" w:rsidRPr="003B7A06">
        <w:t>.</w:t>
      </w:r>
      <w:r w:rsidR="00B745E9" w:rsidRPr="003B7A06">
        <w:t xml:space="preserve">  </w:t>
      </w:r>
      <w:r w:rsidR="003B7A06">
        <w:t xml:space="preserve">Just like in </w:t>
      </w:r>
      <w:r w:rsidR="00B745E9">
        <w:t xml:space="preserve">the annual </w:t>
      </w:r>
      <w:r w:rsidR="003B7A06">
        <w:t>S</w:t>
      </w:r>
      <w:r w:rsidR="00B745E9">
        <w:t>ummary</w:t>
      </w:r>
      <w:r w:rsidR="003B7A06">
        <w:t xml:space="preserve">, this quarterly Summary </w:t>
      </w:r>
      <w:r w:rsidR="00C97C48">
        <w:t>classifies insurers</w:t>
      </w:r>
      <w:r w:rsidR="002326DB">
        <w:t xml:space="preserve"> who</w:t>
      </w:r>
      <w:r w:rsidR="00C97C48">
        <w:t xml:space="preserve"> generally distribut</w:t>
      </w:r>
      <w:r w:rsidR="002326DB">
        <w:t>e</w:t>
      </w:r>
      <w:r w:rsidR="00C97C48">
        <w:t xml:space="preserve"> through Independent Agents</w:t>
      </w:r>
      <w:r w:rsidR="002326DB">
        <w:t xml:space="preserve"> </w:t>
      </w:r>
      <w:r w:rsidR="00C97C48">
        <w:t>as the combination of insurers distributing through</w:t>
      </w:r>
      <w:r w:rsidR="00B745E9">
        <w:t xml:space="preserve"> IA or Broker, MGA</w:t>
      </w:r>
      <w:r w:rsidR="003B7A06">
        <w:t>,</w:t>
      </w:r>
      <w:r w:rsidR="00B745E9">
        <w:t xml:space="preserve"> and IA-Mixed.</w:t>
      </w:r>
    </w:p>
    <w:p w14:paraId="14A6D52E" w14:textId="1F69CC33" w:rsidR="00C5033E" w:rsidRDefault="00B745E9" w:rsidP="009222A8">
      <w:pPr>
        <w:pStyle w:val="ListParagraph"/>
        <w:numPr>
          <w:ilvl w:val="0"/>
          <w:numId w:val="9"/>
        </w:numPr>
        <w:ind w:left="360"/>
      </w:pPr>
      <w:r>
        <w:t>IA or Broker</w:t>
      </w:r>
    </w:p>
    <w:p w14:paraId="5F4D0972" w14:textId="38CB8756" w:rsidR="00C5033E" w:rsidRDefault="00C5033E" w:rsidP="009222A8">
      <w:pPr>
        <w:pStyle w:val="ListParagraph"/>
        <w:numPr>
          <w:ilvl w:val="0"/>
          <w:numId w:val="9"/>
        </w:numPr>
        <w:ind w:left="360"/>
      </w:pPr>
      <w:r>
        <w:t>MGA</w:t>
      </w:r>
    </w:p>
    <w:p w14:paraId="29703C0C" w14:textId="7313BAAB" w:rsidR="00C5033E" w:rsidRDefault="00C5033E" w:rsidP="009222A8">
      <w:pPr>
        <w:pStyle w:val="ListParagraph"/>
        <w:numPr>
          <w:ilvl w:val="0"/>
          <w:numId w:val="9"/>
        </w:numPr>
        <w:ind w:left="360"/>
      </w:pPr>
      <w:r w:rsidRPr="00665EE5">
        <w:t>IA-Mixed</w:t>
      </w:r>
    </w:p>
    <w:p w14:paraId="51BC65D6" w14:textId="77777777" w:rsidR="00C5033E" w:rsidRDefault="00C5033E" w:rsidP="009222A8">
      <w:pPr>
        <w:pStyle w:val="ListParagraph"/>
        <w:numPr>
          <w:ilvl w:val="0"/>
          <w:numId w:val="9"/>
        </w:numPr>
        <w:ind w:left="360"/>
      </w:pPr>
      <w:r>
        <w:t>Direct</w:t>
      </w:r>
    </w:p>
    <w:p w14:paraId="439B958A" w14:textId="211FBFBA" w:rsidR="00C5033E" w:rsidRDefault="00C5033E" w:rsidP="009222A8">
      <w:pPr>
        <w:pStyle w:val="ListParagraph"/>
        <w:numPr>
          <w:ilvl w:val="0"/>
          <w:numId w:val="9"/>
        </w:numPr>
        <w:ind w:left="360"/>
      </w:pPr>
      <w:r>
        <w:t>Exclusive-Captive</w:t>
      </w:r>
    </w:p>
    <w:p w14:paraId="42C49DF5" w14:textId="0B4CECA9" w:rsidR="00C5033E" w:rsidRDefault="00C5033E" w:rsidP="009222A8">
      <w:pPr>
        <w:pStyle w:val="ListParagraph"/>
        <w:numPr>
          <w:ilvl w:val="0"/>
          <w:numId w:val="9"/>
        </w:numPr>
        <w:ind w:left="360"/>
      </w:pPr>
      <w:r w:rsidRPr="00665EE5">
        <w:t>Other</w:t>
      </w:r>
      <w:r w:rsidR="00B745E9">
        <w:t xml:space="preserve"> Distribution</w:t>
      </w:r>
    </w:p>
    <w:p w14:paraId="12BB9075" w14:textId="1D5B3898" w:rsidR="00B12CA2" w:rsidRPr="00FB1207" w:rsidRDefault="00B12CA2" w:rsidP="00FB1207">
      <w:pPr>
        <w:pStyle w:val="Heading1-NoCollasping"/>
      </w:pPr>
      <w:r w:rsidRPr="00FB1207">
        <w:lastRenderedPageBreak/>
        <w:t>Analysis Provided by Real Insurance Solutions Consulting</w:t>
      </w:r>
    </w:p>
    <w:p w14:paraId="40A19293" w14:textId="2B8B921D" w:rsidR="00B12CA2" w:rsidRPr="00FB4F17" w:rsidRDefault="00B12CA2" w:rsidP="00B12CA2">
      <w:r w:rsidRPr="00FB4F17">
        <w:t>This</w:t>
      </w:r>
      <w:r>
        <w:t xml:space="preserve"> </w:t>
      </w:r>
      <w:r w:rsidR="00006B17">
        <w:rPr>
          <w:b/>
          <w:bCs/>
          <w:i/>
          <w:iCs/>
        </w:rPr>
        <w:t>Nebraska</w:t>
      </w:r>
      <w:r w:rsidR="00561C26">
        <w:rPr>
          <w:b/>
          <w:bCs/>
          <w:i/>
          <w:iCs/>
        </w:rPr>
        <w:t xml:space="preserve"> 2022-Quarterly P-C Premium Summary</w:t>
      </w:r>
      <w:r w:rsidR="00AC1A66">
        <w:rPr>
          <w:b/>
          <w:bCs/>
          <w:i/>
          <w:iCs/>
        </w:rPr>
        <w:t xml:space="preserve"> – </w:t>
      </w:r>
      <w:r w:rsidR="00561C26">
        <w:rPr>
          <w:b/>
          <w:bCs/>
          <w:i/>
          <w:iCs/>
        </w:rPr>
        <w:t>Q1</w:t>
      </w:r>
      <w:r w:rsidR="00C97C48">
        <w:t xml:space="preserve"> </w:t>
      </w:r>
      <w:r>
        <w:t xml:space="preserve">has </w:t>
      </w:r>
      <w:r w:rsidRPr="00FB4F17">
        <w:t>provide</w:t>
      </w:r>
      <w:r>
        <w:t>d</w:t>
      </w:r>
      <w:r w:rsidRPr="00FB4F17">
        <w:t xml:space="preserve"> </w:t>
      </w:r>
      <w:r>
        <w:t xml:space="preserve">the reader with </w:t>
      </w:r>
      <w:r w:rsidRPr="00FB4F17">
        <w:t>both visual and numeric presentations</w:t>
      </w:r>
      <w:r>
        <w:t xml:space="preserve"> of the </w:t>
      </w:r>
      <w:r w:rsidR="00006B17">
        <w:t>Nebraska</w:t>
      </w:r>
      <w:r w:rsidR="009C4027">
        <w:t xml:space="preserve"> </w:t>
      </w:r>
      <w:r>
        <w:t xml:space="preserve">P-C </w:t>
      </w:r>
      <w:r w:rsidR="004F457F">
        <w:t xml:space="preserve">premium </w:t>
      </w:r>
      <w:r>
        <w:t>data</w:t>
      </w:r>
      <w:r w:rsidR="009C4027">
        <w:t xml:space="preserve"> </w:t>
      </w:r>
      <w:r w:rsidR="002326DB">
        <w:t xml:space="preserve">for the first quarter </w:t>
      </w:r>
      <w:r w:rsidR="009C4027">
        <w:t>in the current year, 202</w:t>
      </w:r>
      <w:r w:rsidR="002326DB">
        <w:t>2</w:t>
      </w:r>
      <w:r w:rsidR="009C4027">
        <w:t xml:space="preserve">.  It is a </w:t>
      </w:r>
      <w:r>
        <w:t xml:space="preserve">benefit of your membership with the </w:t>
      </w:r>
      <w:r w:rsidR="00006B17">
        <w:t xml:space="preserve">Independent Insurance </w:t>
      </w:r>
      <w:r w:rsidR="00006B17" w:rsidRPr="00742521">
        <w:t>Agents</w:t>
      </w:r>
      <w:r w:rsidR="00006B17">
        <w:t xml:space="preserve"> of Nebraska</w:t>
      </w:r>
      <w:r>
        <w:t>.  All questions and comments, or need for further analysis</w:t>
      </w:r>
      <w:r w:rsidR="0031173D">
        <w:t>,</w:t>
      </w:r>
      <w:r>
        <w:t xml:space="preserve"> are welcomed at the contact information below.</w:t>
      </w:r>
    </w:p>
    <w:p w14:paraId="1180E27A" w14:textId="77777777" w:rsidR="00B12CA2" w:rsidRPr="00763F91" w:rsidRDefault="00B12CA2" w:rsidP="00B12CA2">
      <w:pPr>
        <w:pStyle w:val="Heading3"/>
        <w:ind w:left="720"/>
        <w:jc w:val="left"/>
        <w:rPr>
          <w:u w:val="none"/>
        </w:rPr>
      </w:pPr>
      <w:r w:rsidRPr="00763F91">
        <w:rPr>
          <w:u w:val="none"/>
        </w:rPr>
        <w:t>Real Insurance Solutions Consulting, LLC</w:t>
      </w:r>
      <w:r w:rsidRPr="00763F91">
        <w:rPr>
          <w:u w:val="none"/>
        </w:rPr>
        <w:br/>
        <w:t>Paul A. Buse, Principal</w:t>
      </w:r>
      <w:r w:rsidRPr="00763F91">
        <w:rPr>
          <w:u w:val="none"/>
        </w:rPr>
        <w:br/>
      </w:r>
      <w:hyperlink r:id="rId49" w:history="1">
        <w:r w:rsidRPr="00763F91">
          <w:rPr>
            <w:u w:val="none"/>
          </w:rPr>
          <w:t>www.realinsurancesc.com</w:t>
        </w:r>
      </w:hyperlink>
      <w:r w:rsidRPr="00763F91">
        <w:rPr>
          <w:u w:val="none"/>
        </w:rPr>
        <w:br/>
        <w:t>301-842-7472</w:t>
      </w:r>
    </w:p>
    <w:p w14:paraId="392E4919" w14:textId="541DB528" w:rsidR="00FC4525" w:rsidRPr="00763F91" w:rsidRDefault="00FC4525" w:rsidP="00AA693F"/>
    <w:sectPr w:rsidR="00FC4525" w:rsidRPr="00763F91" w:rsidSect="008078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01A4" w14:textId="77777777" w:rsidR="009D6EF4" w:rsidRDefault="009D6EF4" w:rsidP="001D7F9C">
      <w:pPr>
        <w:spacing w:after="0" w:line="240" w:lineRule="auto"/>
      </w:pPr>
      <w:r>
        <w:separator/>
      </w:r>
    </w:p>
  </w:endnote>
  <w:endnote w:type="continuationSeparator" w:id="0">
    <w:p w14:paraId="347E8303" w14:textId="77777777" w:rsidR="009D6EF4" w:rsidRDefault="009D6EF4" w:rsidP="001D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368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D9B3A" w14:textId="0759967E" w:rsidR="00B15E22" w:rsidRDefault="00B15E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F471C0" w14:textId="77777777" w:rsidR="00B15E22" w:rsidRDefault="00B15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E109" w14:textId="77777777" w:rsidR="009D6EF4" w:rsidRDefault="009D6EF4" w:rsidP="001D7F9C">
      <w:pPr>
        <w:spacing w:after="0" w:line="240" w:lineRule="auto"/>
      </w:pPr>
      <w:r>
        <w:separator/>
      </w:r>
    </w:p>
  </w:footnote>
  <w:footnote w:type="continuationSeparator" w:id="0">
    <w:p w14:paraId="07C8E624" w14:textId="77777777" w:rsidR="009D6EF4" w:rsidRDefault="009D6EF4" w:rsidP="001D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B1A"/>
    <w:multiLevelType w:val="hybridMultilevel"/>
    <w:tmpl w:val="860A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636"/>
    <w:multiLevelType w:val="hybridMultilevel"/>
    <w:tmpl w:val="E0A4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7259"/>
    <w:multiLevelType w:val="hybridMultilevel"/>
    <w:tmpl w:val="478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2745"/>
    <w:multiLevelType w:val="hybridMultilevel"/>
    <w:tmpl w:val="5FBC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A7DB1"/>
    <w:multiLevelType w:val="hybridMultilevel"/>
    <w:tmpl w:val="90B8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2902"/>
    <w:multiLevelType w:val="hybridMultilevel"/>
    <w:tmpl w:val="EB22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F5A"/>
    <w:multiLevelType w:val="hybridMultilevel"/>
    <w:tmpl w:val="6EAE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7693"/>
    <w:multiLevelType w:val="hybridMultilevel"/>
    <w:tmpl w:val="86D4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8697B"/>
    <w:multiLevelType w:val="hybridMultilevel"/>
    <w:tmpl w:val="AB56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81A33"/>
    <w:multiLevelType w:val="hybridMultilevel"/>
    <w:tmpl w:val="8A74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5FF"/>
    <w:multiLevelType w:val="hybridMultilevel"/>
    <w:tmpl w:val="A962B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9E276E"/>
    <w:multiLevelType w:val="hybridMultilevel"/>
    <w:tmpl w:val="E5D4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F6792"/>
    <w:multiLevelType w:val="hybridMultilevel"/>
    <w:tmpl w:val="3450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07BE7"/>
    <w:multiLevelType w:val="hybridMultilevel"/>
    <w:tmpl w:val="3006B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45FB"/>
    <w:multiLevelType w:val="hybridMultilevel"/>
    <w:tmpl w:val="EDC6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27C80"/>
    <w:multiLevelType w:val="hybridMultilevel"/>
    <w:tmpl w:val="16AC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175938">
    <w:abstractNumId w:val="8"/>
  </w:num>
  <w:num w:numId="2" w16cid:durableId="1088310520">
    <w:abstractNumId w:val="5"/>
  </w:num>
  <w:num w:numId="3" w16cid:durableId="88042156">
    <w:abstractNumId w:val="6"/>
  </w:num>
  <w:num w:numId="4" w16cid:durableId="2078890639">
    <w:abstractNumId w:val="9"/>
  </w:num>
  <w:num w:numId="5" w16cid:durableId="357589030">
    <w:abstractNumId w:val="0"/>
  </w:num>
  <w:num w:numId="6" w16cid:durableId="1115096926">
    <w:abstractNumId w:val="11"/>
  </w:num>
  <w:num w:numId="7" w16cid:durableId="1719744976">
    <w:abstractNumId w:val="12"/>
  </w:num>
  <w:num w:numId="8" w16cid:durableId="687173114">
    <w:abstractNumId w:val="2"/>
  </w:num>
  <w:num w:numId="9" w16cid:durableId="1567108669">
    <w:abstractNumId w:val="13"/>
  </w:num>
  <w:num w:numId="10" w16cid:durableId="1006708797">
    <w:abstractNumId w:val="15"/>
  </w:num>
  <w:num w:numId="11" w16cid:durableId="348530073">
    <w:abstractNumId w:val="1"/>
  </w:num>
  <w:num w:numId="12" w16cid:durableId="596133492">
    <w:abstractNumId w:val="3"/>
  </w:num>
  <w:num w:numId="13" w16cid:durableId="1013605449">
    <w:abstractNumId w:val="7"/>
  </w:num>
  <w:num w:numId="14" w16cid:durableId="918948275">
    <w:abstractNumId w:val="10"/>
  </w:num>
  <w:num w:numId="15" w16cid:durableId="1032539897">
    <w:abstractNumId w:val="14"/>
  </w:num>
  <w:num w:numId="16" w16cid:durableId="199632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05"/>
    <w:rsid w:val="00000FC2"/>
    <w:rsid w:val="00001CF3"/>
    <w:rsid w:val="00001E4F"/>
    <w:rsid w:val="0000265A"/>
    <w:rsid w:val="00002927"/>
    <w:rsid w:val="00002C03"/>
    <w:rsid w:val="00002E46"/>
    <w:rsid w:val="00003109"/>
    <w:rsid w:val="0000354A"/>
    <w:rsid w:val="000036D6"/>
    <w:rsid w:val="00003791"/>
    <w:rsid w:val="000038C9"/>
    <w:rsid w:val="00003BF6"/>
    <w:rsid w:val="00003D86"/>
    <w:rsid w:val="000044AB"/>
    <w:rsid w:val="00004686"/>
    <w:rsid w:val="0000471A"/>
    <w:rsid w:val="000059D8"/>
    <w:rsid w:val="00005CA6"/>
    <w:rsid w:val="00005D58"/>
    <w:rsid w:val="00006B17"/>
    <w:rsid w:val="000075DE"/>
    <w:rsid w:val="0000766F"/>
    <w:rsid w:val="00007738"/>
    <w:rsid w:val="00010121"/>
    <w:rsid w:val="0001063D"/>
    <w:rsid w:val="00010BBC"/>
    <w:rsid w:val="00010E49"/>
    <w:rsid w:val="00011888"/>
    <w:rsid w:val="00012DA9"/>
    <w:rsid w:val="00013049"/>
    <w:rsid w:val="00013087"/>
    <w:rsid w:val="000132D3"/>
    <w:rsid w:val="000135E1"/>
    <w:rsid w:val="00013AB4"/>
    <w:rsid w:val="00013D51"/>
    <w:rsid w:val="000144BF"/>
    <w:rsid w:val="0001478A"/>
    <w:rsid w:val="00015FDE"/>
    <w:rsid w:val="00016246"/>
    <w:rsid w:val="0001648B"/>
    <w:rsid w:val="00016A53"/>
    <w:rsid w:val="00016DB7"/>
    <w:rsid w:val="0002003C"/>
    <w:rsid w:val="00020078"/>
    <w:rsid w:val="000209BC"/>
    <w:rsid w:val="00021320"/>
    <w:rsid w:val="00021CED"/>
    <w:rsid w:val="00021D4A"/>
    <w:rsid w:val="0002268E"/>
    <w:rsid w:val="00022E3A"/>
    <w:rsid w:val="00023908"/>
    <w:rsid w:val="00023C98"/>
    <w:rsid w:val="00023E7E"/>
    <w:rsid w:val="00024335"/>
    <w:rsid w:val="0002447D"/>
    <w:rsid w:val="0002494E"/>
    <w:rsid w:val="00025232"/>
    <w:rsid w:val="0002541B"/>
    <w:rsid w:val="00025BD9"/>
    <w:rsid w:val="00025D56"/>
    <w:rsid w:val="00026465"/>
    <w:rsid w:val="000264EB"/>
    <w:rsid w:val="0002681E"/>
    <w:rsid w:val="00026A2E"/>
    <w:rsid w:val="00026B03"/>
    <w:rsid w:val="0003007B"/>
    <w:rsid w:val="000301CB"/>
    <w:rsid w:val="00030451"/>
    <w:rsid w:val="00030C12"/>
    <w:rsid w:val="00030ED1"/>
    <w:rsid w:val="000315A9"/>
    <w:rsid w:val="0003194C"/>
    <w:rsid w:val="0003295F"/>
    <w:rsid w:val="00032D2F"/>
    <w:rsid w:val="00032EF1"/>
    <w:rsid w:val="0003300A"/>
    <w:rsid w:val="00033522"/>
    <w:rsid w:val="00033BE0"/>
    <w:rsid w:val="0003415F"/>
    <w:rsid w:val="0003482D"/>
    <w:rsid w:val="000354C6"/>
    <w:rsid w:val="00035605"/>
    <w:rsid w:val="000356CD"/>
    <w:rsid w:val="00035DC1"/>
    <w:rsid w:val="00036BC6"/>
    <w:rsid w:val="0003721F"/>
    <w:rsid w:val="000375BF"/>
    <w:rsid w:val="000377BF"/>
    <w:rsid w:val="00037C55"/>
    <w:rsid w:val="000403EE"/>
    <w:rsid w:val="00040431"/>
    <w:rsid w:val="00040656"/>
    <w:rsid w:val="0004086F"/>
    <w:rsid w:val="0004117A"/>
    <w:rsid w:val="0004186A"/>
    <w:rsid w:val="000421AA"/>
    <w:rsid w:val="00042BCE"/>
    <w:rsid w:val="00042C4C"/>
    <w:rsid w:val="00042F67"/>
    <w:rsid w:val="00043163"/>
    <w:rsid w:val="00044235"/>
    <w:rsid w:val="00044A2E"/>
    <w:rsid w:val="00045061"/>
    <w:rsid w:val="000451CD"/>
    <w:rsid w:val="000458C1"/>
    <w:rsid w:val="00045AA1"/>
    <w:rsid w:val="00045B61"/>
    <w:rsid w:val="0004658E"/>
    <w:rsid w:val="000465F8"/>
    <w:rsid w:val="000466BE"/>
    <w:rsid w:val="0004750B"/>
    <w:rsid w:val="00050253"/>
    <w:rsid w:val="00050762"/>
    <w:rsid w:val="000510A0"/>
    <w:rsid w:val="00051841"/>
    <w:rsid w:val="00051CE8"/>
    <w:rsid w:val="0005222C"/>
    <w:rsid w:val="000526D0"/>
    <w:rsid w:val="0005281B"/>
    <w:rsid w:val="00053828"/>
    <w:rsid w:val="00053FA4"/>
    <w:rsid w:val="00054A4B"/>
    <w:rsid w:val="00054FA2"/>
    <w:rsid w:val="000552D3"/>
    <w:rsid w:val="00055A78"/>
    <w:rsid w:val="000560DF"/>
    <w:rsid w:val="00056F4A"/>
    <w:rsid w:val="00056F5D"/>
    <w:rsid w:val="0005748C"/>
    <w:rsid w:val="000577A9"/>
    <w:rsid w:val="0006021E"/>
    <w:rsid w:val="000604F4"/>
    <w:rsid w:val="0006075A"/>
    <w:rsid w:val="000612CD"/>
    <w:rsid w:val="00061F61"/>
    <w:rsid w:val="0006227B"/>
    <w:rsid w:val="0006276C"/>
    <w:rsid w:val="000629E4"/>
    <w:rsid w:val="00062B8E"/>
    <w:rsid w:val="00062E01"/>
    <w:rsid w:val="00062E9E"/>
    <w:rsid w:val="00062F29"/>
    <w:rsid w:val="00063BD9"/>
    <w:rsid w:val="00064372"/>
    <w:rsid w:val="000643D8"/>
    <w:rsid w:val="00064D71"/>
    <w:rsid w:val="0006575F"/>
    <w:rsid w:val="000670A9"/>
    <w:rsid w:val="000676BD"/>
    <w:rsid w:val="00067AAF"/>
    <w:rsid w:val="00067E02"/>
    <w:rsid w:val="0007001B"/>
    <w:rsid w:val="00070594"/>
    <w:rsid w:val="000708BC"/>
    <w:rsid w:val="000711F0"/>
    <w:rsid w:val="0007145D"/>
    <w:rsid w:val="0007191B"/>
    <w:rsid w:val="00071A48"/>
    <w:rsid w:val="0007215B"/>
    <w:rsid w:val="000722FB"/>
    <w:rsid w:val="00072368"/>
    <w:rsid w:val="000727CA"/>
    <w:rsid w:val="00072C9C"/>
    <w:rsid w:val="000730DD"/>
    <w:rsid w:val="00073640"/>
    <w:rsid w:val="000738AB"/>
    <w:rsid w:val="00073916"/>
    <w:rsid w:val="00073A90"/>
    <w:rsid w:val="00074F3D"/>
    <w:rsid w:val="00076301"/>
    <w:rsid w:val="00076B08"/>
    <w:rsid w:val="00076B5F"/>
    <w:rsid w:val="00076D80"/>
    <w:rsid w:val="00077AF3"/>
    <w:rsid w:val="00077BE0"/>
    <w:rsid w:val="0008060C"/>
    <w:rsid w:val="000819CF"/>
    <w:rsid w:val="00081A34"/>
    <w:rsid w:val="0008341F"/>
    <w:rsid w:val="00083E80"/>
    <w:rsid w:val="0008452C"/>
    <w:rsid w:val="0008459D"/>
    <w:rsid w:val="0008492A"/>
    <w:rsid w:val="00084FCA"/>
    <w:rsid w:val="00085633"/>
    <w:rsid w:val="000857E0"/>
    <w:rsid w:val="000859F2"/>
    <w:rsid w:val="000865E1"/>
    <w:rsid w:val="000867E1"/>
    <w:rsid w:val="00087023"/>
    <w:rsid w:val="00087521"/>
    <w:rsid w:val="00087B2B"/>
    <w:rsid w:val="00087F09"/>
    <w:rsid w:val="00087F4B"/>
    <w:rsid w:val="000902F8"/>
    <w:rsid w:val="00090D96"/>
    <w:rsid w:val="000912CA"/>
    <w:rsid w:val="00091534"/>
    <w:rsid w:val="00091C7C"/>
    <w:rsid w:val="00091F8C"/>
    <w:rsid w:val="000936BE"/>
    <w:rsid w:val="0009376F"/>
    <w:rsid w:val="00093A6A"/>
    <w:rsid w:val="0009462C"/>
    <w:rsid w:val="00094E72"/>
    <w:rsid w:val="00094F46"/>
    <w:rsid w:val="00095F8C"/>
    <w:rsid w:val="00096394"/>
    <w:rsid w:val="00096611"/>
    <w:rsid w:val="000970AB"/>
    <w:rsid w:val="00097668"/>
    <w:rsid w:val="00097CA5"/>
    <w:rsid w:val="00097F2A"/>
    <w:rsid w:val="000A0BAD"/>
    <w:rsid w:val="000A0CEC"/>
    <w:rsid w:val="000A0F69"/>
    <w:rsid w:val="000A181D"/>
    <w:rsid w:val="000A18E1"/>
    <w:rsid w:val="000A1A62"/>
    <w:rsid w:val="000A26B4"/>
    <w:rsid w:val="000A2BE8"/>
    <w:rsid w:val="000A3B96"/>
    <w:rsid w:val="000A4487"/>
    <w:rsid w:val="000A4690"/>
    <w:rsid w:val="000A488B"/>
    <w:rsid w:val="000A4DC8"/>
    <w:rsid w:val="000A5E06"/>
    <w:rsid w:val="000A6337"/>
    <w:rsid w:val="000A7387"/>
    <w:rsid w:val="000A73D4"/>
    <w:rsid w:val="000A75F2"/>
    <w:rsid w:val="000A7A2B"/>
    <w:rsid w:val="000A7A7A"/>
    <w:rsid w:val="000A7CA6"/>
    <w:rsid w:val="000B0BEF"/>
    <w:rsid w:val="000B0C39"/>
    <w:rsid w:val="000B1173"/>
    <w:rsid w:val="000B11D5"/>
    <w:rsid w:val="000B1310"/>
    <w:rsid w:val="000B2038"/>
    <w:rsid w:val="000B2A7D"/>
    <w:rsid w:val="000B2DDD"/>
    <w:rsid w:val="000B2DEF"/>
    <w:rsid w:val="000B3352"/>
    <w:rsid w:val="000B36C5"/>
    <w:rsid w:val="000B446D"/>
    <w:rsid w:val="000B48D3"/>
    <w:rsid w:val="000B4DCC"/>
    <w:rsid w:val="000B6270"/>
    <w:rsid w:val="000B7346"/>
    <w:rsid w:val="000C0574"/>
    <w:rsid w:val="000C05DF"/>
    <w:rsid w:val="000C0AB0"/>
    <w:rsid w:val="000C1428"/>
    <w:rsid w:val="000C1EF2"/>
    <w:rsid w:val="000C1FDB"/>
    <w:rsid w:val="000C2370"/>
    <w:rsid w:val="000C282C"/>
    <w:rsid w:val="000C2C83"/>
    <w:rsid w:val="000C38D9"/>
    <w:rsid w:val="000C3C40"/>
    <w:rsid w:val="000C40E0"/>
    <w:rsid w:val="000C430C"/>
    <w:rsid w:val="000C44D3"/>
    <w:rsid w:val="000C526A"/>
    <w:rsid w:val="000C5643"/>
    <w:rsid w:val="000C5E9E"/>
    <w:rsid w:val="000C619B"/>
    <w:rsid w:val="000C61CB"/>
    <w:rsid w:val="000C6246"/>
    <w:rsid w:val="000C6259"/>
    <w:rsid w:val="000C7082"/>
    <w:rsid w:val="000C78ED"/>
    <w:rsid w:val="000C7D89"/>
    <w:rsid w:val="000D029F"/>
    <w:rsid w:val="000D0B7A"/>
    <w:rsid w:val="000D2831"/>
    <w:rsid w:val="000D2920"/>
    <w:rsid w:val="000D3BB4"/>
    <w:rsid w:val="000D401F"/>
    <w:rsid w:val="000D40B5"/>
    <w:rsid w:val="000D4615"/>
    <w:rsid w:val="000D5192"/>
    <w:rsid w:val="000D55DF"/>
    <w:rsid w:val="000D6316"/>
    <w:rsid w:val="000D6AA2"/>
    <w:rsid w:val="000D7047"/>
    <w:rsid w:val="000D745D"/>
    <w:rsid w:val="000E275D"/>
    <w:rsid w:val="000E3A85"/>
    <w:rsid w:val="000E3FC6"/>
    <w:rsid w:val="000E441A"/>
    <w:rsid w:val="000E5630"/>
    <w:rsid w:val="000E598E"/>
    <w:rsid w:val="000E5AC8"/>
    <w:rsid w:val="000E64B0"/>
    <w:rsid w:val="000E6A15"/>
    <w:rsid w:val="000E6C13"/>
    <w:rsid w:val="000F049F"/>
    <w:rsid w:val="000F05D4"/>
    <w:rsid w:val="000F154A"/>
    <w:rsid w:val="000F1EEC"/>
    <w:rsid w:val="000F22BA"/>
    <w:rsid w:val="000F26D4"/>
    <w:rsid w:val="000F2852"/>
    <w:rsid w:val="000F2F5A"/>
    <w:rsid w:val="000F3BCA"/>
    <w:rsid w:val="000F461C"/>
    <w:rsid w:val="000F48D3"/>
    <w:rsid w:val="000F4AE5"/>
    <w:rsid w:val="000F505D"/>
    <w:rsid w:val="000F5B28"/>
    <w:rsid w:val="000F6A61"/>
    <w:rsid w:val="000F6C60"/>
    <w:rsid w:val="000F70E9"/>
    <w:rsid w:val="000F7BCB"/>
    <w:rsid w:val="000F7F31"/>
    <w:rsid w:val="001008DD"/>
    <w:rsid w:val="00100987"/>
    <w:rsid w:val="00100B25"/>
    <w:rsid w:val="001015C6"/>
    <w:rsid w:val="001017BF"/>
    <w:rsid w:val="00102147"/>
    <w:rsid w:val="001026B5"/>
    <w:rsid w:val="001028CB"/>
    <w:rsid w:val="00102C0F"/>
    <w:rsid w:val="0010315E"/>
    <w:rsid w:val="001032FD"/>
    <w:rsid w:val="001056DB"/>
    <w:rsid w:val="00105E47"/>
    <w:rsid w:val="00106CDF"/>
    <w:rsid w:val="00107436"/>
    <w:rsid w:val="0010759B"/>
    <w:rsid w:val="00107CD2"/>
    <w:rsid w:val="00107CE0"/>
    <w:rsid w:val="00107F00"/>
    <w:rsid w:val="0011021A"/>
    <w:rsid w:val="001107C5"/>
    <w:rsid w:val="0011096B"/>
    <w:rsid w:val="00110CBF"/>
    <w:rsid w:val="0011134C"/>
    <w:rsid w:val="00111898"/>
    <w:rsid w:val="00111FBB"/>
    <w:rsid w:val="00112DF3"/>
    <w:rsid w:val="00113B35"/>
    <w:rsid w:val="00113F62"/>
    <w:rsid w:val="0011460F"/>
    <w:rsid w:val="00114810"/>
    <w:rsid w:val="001152EB"/>
    <w:rsid w:val="00115505"/>
    <w:rsid w:val="00115903"/>
    <w:rsid w:val="00115D5B"/>
    <w:rsid w:val="00115E37"/>
    <w:rsid w:val="00116426"/>
    <w:rsid w:val="00116940"/>
    <w:rsid w:val="00116AB7"/>
    <w:rsid w:val="001179C0"/>
    <w:rsid w:val="00117C59"/>
    <w:rsid w:val="0012050F"/>
    <w:rsid w:val="00120705"/>
    <w:rsid w:val="00120C4F"/>
    <w:rsid w:val="00120FF7"/>
    <w:rsid w:val="001212F1"/>
    <w:rsid w:val="0012185A"/>
    <w:rsid w:val="001220F4"/>
    <w:rsid w:val="00123AAD"/>
    <w:rsid w:val="00123B02"/>
    <w:rsid w:val="00124632"/>
    <w:rsid w:val="001247DA"/>
    <w:rsid w:val="00125B95"/>
    <w:rsid w:val="0012635C"/>
    <w:rsid w:val="001265F2"/>
    <w:rsid w:val="00127024"/>
    <w:rsid w:val="001278C0"/>
    <w:rsid w:val="00130AE2"/>
    <w:rsid w:val="001311DE"/>
    <w:rsid w:val="00131DA6"/>
    <w:rsid w:val="001331B2"/>
    <w:rsid w:val="001331E2"/>
    <w:rsid w:val="00133EF9"/>
    <w:rsid w:val="00134827"/>
    <w:rsid w:val="00134EA1"/>
    <w:rsid w:val="00135FD0"/>
    <w:rsid w:val="00136405"/>
    <w:rsid w:val="00136854"/>
    <w:rsid w:val="00136DB2"/>
    <w:rsid w:val="001375B9"/>
    <w:rsid w:val="00137BEE"/>
    <w:rsid w:val="0014047C"/>
    <w:rsid w:val="00140BF6"/>
    <w:rsid w:val="001412F9"/>
    <w:rsid w:val="001414BA"/>
    <w:rsid w:val="00141898"/>
    <w:rsid w:val="00142158"/>
    <w:rsid w:val="00142312"/>
    <w:rsid w:val="001426CD"/>
    <w:rsid w:val="00142BAE"/>
    <w:rsid w:val="00142E53"/>
    <w:rsid w:val="00142F97"/>
    <w:rsid w:val="001433D4"/>
    <w:rsid w:val="00143931"/>
    <w:rsid w:val="001449E1"/>
    <w:rsid w:val="00144FCC"/>
    <w:rsid w:val="00145F8E"/>
    <w:rsid w:val="00145F99"/>
    <w:rsid w:val="001464A8"/>
    <w:rsid w:val="00147C4C"/>
    <w:rsid w:val="00147C5F"/>
    <w:rsid w:val="00147D1F"/>
    <w:rsid w:val="00147DF2"/>
    <w:rsid w:val="00150B9C"/>
    <w:rsid w:val="00150BC3"/>
    <w:rsid w:val="00150C3E"/>
    <w:rsid w:val="001510AB"/>
    <w:rsid w:val="00151BD8"/>
    <w:rsid w:val="00152C26"/>
    <w:rsid w:val="00152D93"/>
    <w:rsid w:val="001531F2"/>
    <w:rsid w:val="001533CE"/>
    <w:rsid w:val="00153F2B"/>
    <w:rsid w:val="00154358"/>
    <w:rsid w:val="001543D9"/>
    <w:rsid w:val="001545B0"/>
    <w:rsid w:val="001551EB"/>
    <w:rsid w:val="0015532D"/>
    <w:rsid w:val="001565E9"/>
    <w:rsid w:val="00156B32"/>
    <w:rsid w:val="001572D8"/>
    <w:rsid w:val="0015753E"/>
    <w:rsid w:val="00157E89"/>
    <w:rsid w:val="001600BB"/>
    <w:rsid w:val="0016078A"/>
    <w:rsid w:val="001609B9"/>
    <w:rsid w:val="00160F61"/>
    <w:rsid w:val="00161893"/>
    <w:rsid w:val="00162C90"/>
    <w:rsid w:val="00163263"/>
    <w:rsid w:val="00163D04"/>
    <w:rsid w:val="00163EF1"/>
    <w:rsid w:val="00164977"/>
    <w:rsid w:val="001660FC"/>
    <w:rsid w:val="001673E9"/>
    <w:rsid w:val="00167492"/>
    <w:rsid w:val="00167C26"/>
    <w:rsid w:val="00170697"/>
    <w:rsid w:val="00170BB1"/>
    <w:rsid w:val="00172444"/>
    <w:rsid w:val="00172684"/>
    <w:rsid w:val="00172C14"/>
    <w:rsid w:val="00174443"/>
    <w:rsid w:val="001745B8"/>
    <w:rsid w:val="001747C8"/>
    <w:rsid w:val="001759BA"/>
    <w:rsid w:val="00176952"/>
    <w:rsid w:val="00176D2D"/>
    <w:rsid w:val="001771FF"/>
    <w:rsid w:val="001775E5"/>
    <w:rsid w:val="00180359"/>
    <w:rsid w:val="0018099D"/>
    <w:rsid w:val="00180F52"/>
    <w:rsid w:val="001810AE"/>
    <w:rsid w:val="0018151B"/>
    <w:rsid w:val="00182D6F"/>
    <w:rsid w:val="00184905"/>
    <w:rsid w:val="00184BAA"/>
    <w:rsid w:val="00184E23"/>
    <w:rsid w:val="001855E6"/>
    <w:rsid w:val="00185697"/>
    <w:rsid w:val="00185D76"/>
    <w:rsid w:val="00186E0F"/>
    <w:rsid w:val="00187320"/>
    <w:rsid w:val="00187DA6"/>
    <w:rsid w:val="00187F8B"/>
    <w:rsid w:val="001904D8"/>
    <w:rsid w:val="001905E1"/>
    <w:rsid w:val="00190A15"/>
    <w:rsid w:val="00191890"/>
    <w:rsid w:val="00191A0C"/>
    <w:rsid w:val="00192030"/>
    <w:rsid w:val="001923D7"/>
    <w:rsid w:val="00192440"/>
    <w:rsid w:val="0019263E"/>
    <w:rsid w:val="0019267E"/>
    <w:rsid w:val="001926A0"/>
    <w:rsid w:val="00193E06"/>
    <w:rsid w:val="00194BFB"/>
    <w:rsid w:val="00195006"/>
    <w:rsid w:val="00195B3F"/>
    <w:rsid w:val="001A01E3"/>
    <w:rsid w:val="001A0830"/>
    <w:rsid w:val="001A0C12"/>
    <w:rsid w:val="001A19D0"/>
    <w:rsid w:val="001A19FB"/>
    <w:rsid w:val="001A1B40"/>
    <w:rsid w:val="001A1EC7"/>
    <w:rsid w:val="001A2A2E"/>
    <w:rsid w:val="001A2BF6"/>
    <w:rsid w:val="001A3378"/>
    <w:rsid w:val="001A34AD"/>
    <w:rsid w:val="001A34C9"/>
    <w:rsid w:val="001A36CD"/>
    <w:rsid w:val="001A41B8"/>
    <w:rsid w:val="001A58CA"/>
    <w:rsid w:val="001A5FC3"/>
    <w:rsid w:val="001A6A45"/>
    <w:rsid w:val="001A711D"/>
    <w:rsid w:val="001A7B50"/>
    <w:rsid w:val="001B032D"/>
    <w:rsid w:val="001B0682"/>
    <w:rsid w:val="001B1138"/>
    <w:rsid w:val="001B113F"/>
    <w:rsid w:val="001B1B54"/>
    <w:rsid w:val="001B1DD6"/>
    <w:rsid w:val="001B1E10"/>
    <w:rsid w:val="001B2036"/>
    <w:rsid w:val="001B2BAB"/>
    <w:rsid w:val="001B3165"/>
    <w:rsid w:val="001B3223"/>
    <w:rsid w:val="001B389A"/>
    <w:rsid w:val="001B464F"/>
    <w:rsid w:val="001B5963"/>
    <w:rsid w:val="001B5EDB"/>
    <w:rsid w:val="001B64A9"/>
    <w:rsid w:val="001B6A09"/>
    <w:rsid w:val="001B6AB4"/>
    <w:rsid w:val="001B7499"/>
    <w:rsid w:val="001B7668"/>
    <w:rsid w:val="001B78FE"/>
    <w:rsid w:val="001B791B"/>
    <w:rsid w:val="001C05C2"/>
    <w:rsid w:val="001C11C3"/>
    <w:rsid w:val="001C17C0"/>
    <w:rsid w:val="001C2181"/>
    <w:rsid w:val="001C2D50"/>
    <w:rsid w:val="001C2E80"/>
    <w:rsid w:val="001C35B2"/>
    <w:rsid w:val="001C3DAB"/>
    <w:rsid w:val="001C404D"/>
    <w:rsid w:val="001C4BF7"/>
    <w:rsid w:val="001C513A"/>
    <w:rsid w:val="001C5835"/>
    <w:rsid w:val="001C59A3"/>
    <w:rsid w:val="001C62D7"/>
    <w:rsid w:val="001C6CEE"/>
    <w:rsid w:val="001C7A3E"/>
    <w:rsid w:val="001D015A"/>
    <w:rsid w:val="001D10B5"/>
    <w:rsid w:val="001D1F18"/>
    <w:rsid w:val="001D20AF"/>
    <w:rsid w:val="001D2C00"/>
    <w:rsid w:val="001D3339"/>
    <w:rsid w:val="001D354B"/>
    <w:rsid w:val="001D3B32"/>
    <w:rsid w:val="001D3BE9"/>
    <w:rsid w:val="001D3F88"/>
    <w:rsid w:val="001D419B"/>
    <w:rsid w:val="001D4962"/>
    <w:rsid w:val="001D4C02"/>
    <w:rsid w:val="001D526D"/>
    <w:rsid w:val="001D5C69"/>
    <w:rsid w:val="001D5FEC"/>
    <w:rsid w:val="001D64EE"/>
    <w:rsid w:val="001D73FC"/>
    <w:rsid w:val="001D7D68"/>
    <w:rsid w:val="001D7DB1"/>
    <w:rsid w:val="001D7F9C"/>
    <w:rsid w:val="001E0CC9"/>
    <w:rsid w:val="001E1795"/>
    <w:rsid w:val="001E1807"/>
    <w:rsid w:val="001E1F06"/>
    <w:rsid w:val="001E1F35"/>
    <w:rsid w:val="001E28AA"/>
    <w:rsid w:val="001E39B6"/>
    <w:rsid w:val="001E3E27"/>
    <w:rsid w:val="001E4257"/>
    <w:rsid w:val="001E52C1"/>
    <w:rsid w:val="001E53FB"/>
    <w:rsid w:val="001E573C"/>
    <w:rsid w:val="001E5939"/>
    <w:rsid w:val="001E5A18"/>
    <w:rsid w:val="001E614D"/>
    <w:rsid w:val="001E644C"/>
    <w:rsid w:val="001E6837"/>
    <w:rsid w:val="001E6873"/>
    <w:rsid w:val="001E6B10"/>
    <w:rsid w:val="001E6BD7"/>
    <w:rsid w:val="001E7F21"/>
    <w:rsid w:val="001F12F9"/>
    <w:rsid w:val="001F1350"/>
    <w:rsid w:val="001F16F6"/>
    <w:rsid w:val="001F18B8"/>
    <w:rsid w:val="001F28DD"/>
    <w:rsid w:val="001F3429"/>
    <w:rsid w:val="001F3444"/>
    <w:rsid w:val="001F361E"/>
    <w:rsid w:val="001F3670"/>
    <w:rsid w:val="001F36FD"/>
    <w:rsid w:val="001F3D58"/>
    <w:rsid w:val="001F6D26"/>
    <w:rsid w:val="001F7314"/>
    <w:rsid w:val="001F755B"/>
    <w:rsid w:val="00201386"/>
    <w:rsid w:val="00201CFD"/>
    <w:rsid w:val="00202624"/>
    <w:rsid w:val="0020297C"/>
    <w:rsid w:val="00202A06"/>
    <w:rsid w:val="00202CEF"/>
    <w:rsid w:val="00202D0D"/>
    <w:rsid w:val="00203015"/>
    <w:rsid w:val="002030F7"/>
    <w:rsid w:val="0020412C"/>
    <w:rsid w:val="00204134"/>
    <w:rsid w:val="002044BA"/>
    <w:rsid w:val="0020460F"/>
    <w:rsid w:val="00205912"/>
    <w:rsid w:val="00205B66"/>
    <w:rsid w:val="00205CBB"/>
    <w:rsid w:val="002062F4"/>
    <w:rsid w:val="002064AD"/>
    <w:rsid w:val="00206C92"/>
    <w:rsid w:val="0020784E"/>
    <w:rsid w:val="00207A09"/>
    <w:rsid w:val="002108E8"/>
    <w:rsid w:val="00210FFB"/>
    <w:rsid w:val="002113FF"/>
    <w:rsid w:val="00211E8C"/>
    <w:rsid w:val="00211EF4"/>
    <w:rsid w:val="00211FD0"/>
    <w:rsid w:val="00212FB1"/>
    <w:rsid w:val="002131C7"/>
    <w:rsid w:val="002131F9"/>
    <w:rsid w:val="002139E8"/>
    <w:rsid w:val="00213FFF"/>
    <w:rsid w:val="00215753"/>
    <w:rsid w:val="002161CA"/>
    <w:rsid w:val="002162A1"/>
    <w:rsid w:val="002176D5"/>
    <w:rsid w:val="00220179"/>
    <w:rsid w:val="002202D5"/>
    <w:rsid w:val="00220727"/>
    <w:rsid w:val="00220889"/>
    <w:rsid w:val="00221968"/>
    <w:rsid w:val="00221DD0"/>
    <w:rsid w:val="00221F70"/>
    <w:rsid w:val="00222C7D"/>
    <w:rsid w:val="00223EA8"/>
    <w:rsid w:val="00223FD3"/>
    <w:rsid w:val="0022449C"/>
    <w:rsid w:val="00224EDC"/>
    <w:rsid w:val="00224F70"/>
    <w:rsid w:val="0022516B"/>
    <w:rsid w:val="00225BCC"/>
    <w:rsid w:val="00225C2A"/>
    <w:rsid w:val="0022641F"/>
    <w:rsid w:val="002264AD"/>
    <w:rsid w:val="00227748"/>
    <w:rsid w:val="00230EA7"/>
    <w:rsid w:val="002312D9"/>
    <w:rsid w:val="00231690"/>
    <w:rsid w:val="002326DB"/>
    <w:rsid w:val="0023294C"/>
    <w:rsid w:val="00233A3F"/>
    <w:rsid w:val="00233CD0"/>
    <w:rsid w:val="0023458F"/>
    <w:rsid w:val="002357A0"/>
    <w:rsid w:val="00236221"/>
    <w:rsid w:val="0023690F"/>
    <w:rsid w:val="00236B99"/>
    <w:rsid w:val="00236C70"/>
    <w:rsid w:val="002372BF"/>
    <w:rsid w:val="00237405"/>
    <w:rsid w:val="002376B2"/>
    <w:rsid w:val="0024039B"/>
    <w:rsid w:val="0024097F"/>
    <w:rsid w:val="002418F2"/>
    <w:rsid w:val="00241A14"/>
    <w:rsid w:val="00241ED6"/>
    <w:rsid w:val="00242137"/>
    <w:rsid w:val="002424E8"/>
    <w:rsid w:val="002426B6"/>
    <w:rsid w:val="00242C17"/>
    <w:rsid w:val="00243046"/>
    <w:rsid w:val="002439A3"/>
    <w:rsid w:val="00243B8B"/>
    <w:rsid w:val="00243C70"/>
    <w:rsid w:val="00243C8A"/>
    <w:rsid w:val="00243E5A"/>
    <w:rsid w:val="00243FA9"/>
    <w:rsid w:val="002444C2"/>
    <w:rsid w:val="0024487D"/>
    <w:rsid w:val="00245559"/>
    <w:rsid w:val="002457A2"/>
    <w:rsid w:val="0024594C"/>
    <w:rsid w:val="002460DD"/>
    <w:rsid w:val="002461AD"/>
    <w:rsid w:val="002472C2"/>
    <w:rsid w:val="002476BB"/>
    <w:rsid w:val="00247BA6"/>
    <w:rsid w:val="00250427"/>
    <w:rsid w:val="00252003"/>
    <w:rsid w:val="002520E5"/>
    <w:rsid w:val="002538BC"/>
    <w:rsid w:val="00253AED"/>
    <w:rsid w:val="002543F0"/>
    <w:rsid w:val="00254924"/>
    <w:rsid w:val="00254F0E"/>
    <w:rsid w:val="00254F22"/>
    <w:rsid w:val="00256044"/>
    <w:rsid w:val="002572A9"/>
    <w:rsid w:val="002575CE"/>
    <w:rsid w:val="002579FC"/>
    <w:rsid w:val="00260013"/>
    <w:rsid w:val="00260361"/>
    <w:rsid w:val="002605E4"/>
    <w:rsid w:val="002611B2"/>
    <w:rsid w:val="002613FD"/>
    <w:rsid w:val="00261684"/>
    <w:rsid w:val="00261827"/>
    <w:rsid w:val="0026186F"/>
    <w:rsid w:val="00261B14"/>
    <w:rsid w:val="00261F92"/>
    <w:rsid w:val="002631AC"/>
    <w:rsid w:val="00263DF9"/>
    <w:rsid w:val="002641A8"/>
    <w:rsid w:val="002644C3"/>
    <w:rsid w:val="00264534"/>
    <w:rsid w:val="00264AFD"/>
    <w:rsid w:val="002654D3"/>
    <w:rsid w:val="002657A1"/>
    <w:rsid w:val="00266DC0"/>
    <w:rsid w:val="00266E24"/>
    <w:rsid w:val="002670EC"/>
    <w:rsid w:val="002676EF"/>
    <w:rsid w:val="00267D11"/>
    <w:rsid w:val="00270DC0"/>
    <w:rsid w:val="00271ACB"/>
    <w:rsid w:val="002723B3"/>
    <w:rsid w:val="0027251B"/>
    <w:rsid w:val="00272689"/>
    <w:rsid w:val="002728E7"/>
    <w:rsid w:val="00272947"/>
    <w:rsid w:val="00273CA1"/>
    <w:rsid w:val="002746A5"/>
    <w:rsid w:val="00274703"/>
    <w:rsid w:val="00275F6B"/>
    <w:rsid w:val="00276002"/>
    <w:rsid w:val="002769A0"/>
    <w:rsid w:val="00276C4E"/>
    <w:rsid w:val="00277204"/>
    <w:rsid w:val="002774CD"/>
    <w:rsid w:val="00277804"/>
    <w:rsid w:val="0027780D"/>
    <w:rsid w:val="002801C8"/>
    <w:rsid w:val="002806A9"/>
    <w:rsid w:val="00280EAA"/>
    <w:rsid w:val="00281655"/>
    <w:rsid w:val="00282031"/>
    <w:rsid w:val="002825E9"/>
    <w:rsid w:val="002829C0"/>
    <w:rsid w:val="00282D98"/>
    <w:rsid w:val="00283E61"/>
    <w:rsid w:val="00284068"/>
    <w:rsid w:val="002842F6"/>
    <w:rsid w:val="00284DAA"/>
    <w:rsid w:val="002851F1"/>
    <w:rsid w:val="0028558E"/>
    <w:rsid w:val="002855E9"/>
    <w:rsid w:val="00286691"/>
    <w:rsid w:val="00286A82"/>
    <w:rsid w:val="00286C54"/>
    <w:rsid w:val="002871AB"/>
    <w:rsid w:val="00290087"/>
    <w:rsid w:val="0029041D"/>
    <w:rsid w:val="00290A22"/>
    <w:rsid w:val="00290B19"/>
    <w:rsid w:val="00290B62"/>
    <w:rsid w:val="0029130C"/>
    <w:rsid w:val="00291956"/>
    <w:rsid w:val="002919B1"/>
    <w:rsid w:val="002922CC"/>
    <w:rsid w:val="00292657"/>
    <w:rsid w:val="00292AD8"/>
    <w:rsid w:val="00292CA4"/>
    <w:rsid w:val="00292E2C"/>
    <w:rsid w:val="00292F16"/>
    <w:rsid w:val="002931CB"/>
    <w:rsid w:val="00293E21"/>
    <w:rsid w:val="00294327"/>
    <w:rsid w:val="00294C2A"/>
    <w:rsid w:val="00294E2D"/>
    <w:rsid w:val="002950D5"/>
    <w:rsid w:val="002951A3"/>
    <w:rsid w:val="002960CC"/>
    <w:rsid w:val="00296277"/>
    <w:rsid w:val="0029644D"/>
    <w:rsid w:val="00296517"/>
    <w:rsid w:val="00296BCE"/>
    <w:rsid w:val="00297E25"/>
    <w:rsid w:val="002A0150"/>
    <w:rsid w:val="002A146E"/>
    <w:rsid w:val="002A14F0"/>
    <w:rsid w:val="002A2357"/>
    <w:rsid w:val="002A2EDB"/>
    <w:rsid w:val="002A3237"/>
    <w:rsid w:val="002A3DC8"/>
    <w:rsid w:val="002A3F54"/>
    <w:rsid w:val="002A4203"/>
    <w:rsid w:val="002A46B3"/>
    <w:rsid w:val="002A52EF"/>
    <w:rsid w:val="002A566B"/>
    <w:rsid w:val="002A6621"/>
    <w:rsid w:val="002A6635"/>
    <w:rsid w:val="002A6D3F"/>
    <w:rsid w:val="002A6F2B"/>
    <w:rsid w:val="002A7A1A"/>
    <w:rsid w:val="002B08CA"/>
    <w:rsid w:val="002B1434"/>
    <w:rsid w:val="002B19D7"/>
    <w:rsid w:val="002B1C36"/>
    <w:rsid w:val="002B3319"/>
    <w:rsid w:val="002B3D37"/>
    <w:rsid w:val="002B470A"/>
    <w:rsid w:val="002B48B1"/>
    <w:rsid w:val="002B5A23"/>
    <w:rsid w:val="002B5B8E"/>
    <w:rsid w:val="002B6238"/>
    <w:rsid w:val="002B6375"/>
    <w:rsid w:val="002B645F"/>
    <w:rsid w:val="002B648B"/>
    <w:rsid w:val="002B68FB"/>
    <w:rsid w:val="002B6CA8"/>
    <w:rsid w:val="002B6F34"/>
    <w:rsid w:val="002C00B5"/>
    <w:rsid w:val="002C0A30"/>
    <w:rsid w:val="002C0DDD"/>
    <w:rsid w:val="002C0E3E"/>
    <w:rsid w:val="002C1536"/>
    <w:rsid w:val="002C2BB4"/>
    <w:rsid w:val="002C3245"/>
    <w:rsid w:val="002C3624"/>
    <w:rsid w:val="002C363B"/>
    <w:rsid w:val="002C39D6"/>
    <w:rsid w:val="002C3AAD"/>
    <w:rsid w:val="002C3E67"/>
    <w:rsid w:val="002C3FAC"/>
    <w:rsid w:val="002C465C"/>
    <w:rsid w:val="002C47FD"/>
    <w:rsid w:val="002C4A62"/>
    <w:rsid w:val="002C4E04"/>
    <w:rsid w:val="002C5C43"/>
    <w:rsid w:val="002C6818"/>
    <w:rsid w:val="002C6D0D"/>
    <w:rsid w:val="002D049A"/>
    <w:rsid w:val="002D0740"/>
    <w:rsid w:val="002D076E"/>
    <w:rsid w:val="002D0CC2"/>
    <w:rsid w:val="002D0E19"/>
    <w:rsid w:val="002D1219"/>
    <w:rsid w:val="002D1857"/>
    <w:rsid w:val="002D375E"/>
    <w:rsid w:val="002D5633"/>
    <w:rsid w:val="002D5B4E"/>
    <w:rsid w:val="002D6D19"/>
    <w:rsid w:val="002D7C6C"/>
    <w:rsid w:val="002E0518"/>
    <w:rsid w:val="002E0724"/>
    <w:rsid w:val="002E2CE6"/>
    <w:rsid w:val="002E2D15"/>
    <w:rsid w:val="002E2F86"/>
    <w:rsid w:val="002E308C"/>
    <w:rsid w:val="002E350D"/>
    <w:rsid w:val="002E37F9"/>
    <w:rsid w:val="002E3A32"/>
    <w:rsid w:val="002E417A"/>
    <w:rsid w:val="002E45CD"/>
    <w:rsid w:val="002E4CDD"/>
    <w:rsid w:val="002E4DAA"/>
    <w:rsid w:val="002E5837"/>
    <w:rsid w:val="002E5DE4"/>
    <w:rsid w:val="002E65E5"/>
    <w:rsid w:val="002E6951"/>
    <w:rsid w:val="002E6D47"/>
    <w:rsid w:val="002E6DC0"/>
    <w:rsid w:val="002F042B"/>
    <w:rsid w:val="002F1389"/>
    <w:rsid w:val="002F1980"/>
    <w:rsid w:val="002F28B1"/>
    <w:rsid w:val="002F2A3E"/>
    <w:rsid w:val="002F2AB0"/>
    <w:rsid w:val="002F3201"/>
    <w:rsid w:val="002F321B"/>
    <w:rsid w:val="002F33D7"/>
    <w:rsid w:val="002F3B84"/>
    <w:rsid w:val="002F4231"/>
    <w:rsid w:val="002F4572"/>
    <w:rsid w:val="002F48D6"/>
    <w:rsid w:val="002F6411"/>
    <w:rsid w:val="002F687C"/>
    <w:rsid w:val="002F7822"/>
    <w:rsid w:val="002F7A7F"/>
    <w:rsid w:val="0030006E"/>
    <w:rsid w:val="00300A36"/>
    <w:rsid w:val="003014AA"/>
    <w:rsid w:val="00301D74"/>
    <w:rsid w:val="00301D7C"/>
    <w:rsid w:val="00303A37"/>
    <w:rsid w:val="00304224"/>
    <w:rsid w:val="0030459A"/>
    <w:rsid w:val="003051E9"/>
    <w:rsid w:val="00305712"/>
    <w:rsid w:val="0030592B"/>
    <w:rsid w:val="003061AB"/>
    <w:rsid w:val="00306417"/>
    <w:rsid w:val="0030654C"/>
    <w:rsid w:val="00306827"/>
    <w:rsid w:val="00307CC4"/>
    <w:rsid w:val="00307DDB"/>
    <w:rsid w:val="0031134F"/>
    <w:rsid w:val="0031173D"/>
    <w:rsid w:val="0031477B"/>
    <w:rsid w:val="00314B68"/>
    <w:rsid w:val="00315310"/>
    <w:rsid w:val="003170F9"/>
    <w:rsid w:val="003171FB"/>
    <w:rsid w:val="003175A4"/>
    <w:rsid w:val="00317726"/>
    <w:rsid w:val="00320FEC"/>
    <w:rsid w:val="003215C2"/>
    <w:rsid w:val="0032180C"/>
    <w:rsid w:val="00321C0A"/>
    <w:rsid w:val="00321C11"/>
    <w:rsid w:val="00321E6F"/>
    <w:rsid w:val="0032267C"/>
    <w:rsid w:val="003227A9"/>
    <w:rsid w:val="00322A80"/>
    <w:rsid w:val="00322C41"/>
    <w:rsid w:val="00323973"/>
    <w:rsid w:val="003241BE"/>
    <w:rsid w:val="00325003"/>
    <w:rsid w:val="0032534E"/>
    <w:rsid w:val="00325ACB"/>
    <w:rsid w:val="00325CDD"/>
    <w:rsid w:val="00326D1A"/>
    <w:rsid w:val="00327863"/>
    <w:rsid w:val="00327AA0"/>
    <w:rsid w:val="00330300"/>
    <w:rsid w:val="00330F34"/>
    <w:rsid w:val="003323EA"/>
    <w:rsid w:val="00333432"/>
    <w:rsid w:val="00333545"/>
    <w:rsid w:val="003336BB"/>
    <w:rsid w:val="00333969"/>
    <w:rsid w:val="00335054"/>
    <w:rsid w:val="003357C8"/>
    <w:rsid w:val="00335D75"/>
    <w:rsid w:val="00336331"/>
    <w:rsid w:val="00336FF3"/>
    <w:rsid w:val="003374B4"/>
    <w:rsid w:val="00337920"/>
    <w:rsid w:val="00337ACA"/>
    <w:rsid w:val="00337FED"/>
    <w:rsid w:val="00340C19"/>
    <w:rsid w:val="00340FF2"/>
    <w:rsid w:val="00342A6D"/>
    <w:rsid w:val="00342AA5"/>
    <w:rsid w:val="0034302A"/>
    <w:rsid w:val="0034371F"/>
    <w:rsid w:val="00343C9E"/>
    <w:rsid w:val="003440C0"/>
    <w:rsid w:val="0034429F"/>
    <w:rsid w:val="00344B1B"/>
    <w:rsid w:val="00344BC0"/>
    <w:rsid w:val="00344FA0"/>
    <w:rsid w:val="00345078"/>
    <w:rsid w:val="003455FB"/>
    <w:rsid w:val="0034600F"/>
    <w:rsid w:val="003462B8"/>
    <w:rsid w:val="00346694"/>
    <w:rsid w:val="003466BF"/>
    <w:rsid w:val="0034670F"/>
    <w:rsid w:val="00347B60"/>
    <w:rsid w:val="00350B15"/>
    <w:rsid w:val="00350C7B"/>
    <w:rsid w:val="00351569"/>
    <w:rsid w:val="00351818"/>
    <w:rsid w:val="00351D74"/>
    <w:rsid w:val="00352789"/>
    <w:rsid w:val="00352BD8"/>
    <w:rsid w:val="00352ECB"/>
    <w:rsid w:val="00352F12"/>
    <w:rsid w:val="00353D51"/>
    <w:rsid w:val="003545B4"/>
    <w:rsid w:val="00355618"/>
    <w:rsid w:val="00355A84"/>
    <w:rsid w:val="00356000"/>
    <w:rsid w:val="00356614"/>
    <w:rsid w:val="003568B6"/>
    <w:rsid w:val="00356BD0"/>
    <w:rsid w:val="00356E42"/>
    <w:rsid w:val="003579D0"/>
    <w:rsid w:val="00360115"/>
    <w:rsid w:val="00360D44"/>
    <w:rsid w:val="00361129"/>
    <w:rsid w:val="00361F44"/>
    <w:rsid w:val="00362E32"/>
    <w:rsid w:val="00363C00"/>
    <w:rsid w:val="003641F9"/>
    <w:rsid w:val="00364553"/>
    <w:rsid w:val="003645E9"/>
    <w:rsid w:val="00365D3A"/>
    <w:rsid w:val="00365F75"/>
    <w:rsid w:val="00366135"/>
    <w:rsid w:val="003663B6"/>
    <w:rsid w:val="00370067"/>
    <w:rsid w:val="003703DF"/>
    <w:rsid w:val="00370674"/>
    <w:rsid w:val="003728CE"/>
    <w:rsid w:val="0037292B"/>
    <w:rsid w:val="00372BF0"/>
    <w:rsid w:val="003731E7"/>
    <w:rsid w:val="00373230"/>
    <w:rsid w:val="00373733"/>
    <w:rsid w:val="0037408C"/>
    <w:rsid w:val="00374317"/>
    <w:rsid w:val="003743DD"/>
    <w:rsid w:val="0037522C"/>
    <w:rsid w:val="0037536A"/>
    <w:rsid w:val="00375583"/>
    <w:rsid w:val="003766EA"/>
    <w:rsid w:val="00376B13"/>
    <w:rsid w:val="00376C4E"/>
    <w:rsid w:val="00376CE4"/>
    <w:rsid w:val="00376D72"/>
    <w:rsid w:val="00377095"/>
    <w:rsid w:val="003771F3"/>
    <w:rsid w:val="00377664"/>
    <w:rsid w:val="00377CB4"/>
    <w:rsid w:val="003804BD"/>
    <w:rsid w:val="003811A5"/>
    <w:rsid w:val="0038130F"/>
    <w:rsid w:val="00382087"/>
    <w:rsid w:val="003822DC"/>
    <w:rsid w:val="00382AB0"/>
    <w:rsid w:val="003830B0"/>
    <w:rsid w:val="0038338C"/>
    <w:rsid w:val="00383622"/>
    <w:rsid w:val="00383993"/>
    <w:rsid w:val="00383C32"/>
    <w:rsid w:val="00384120"/>
    <w:rsid w:val="00384959"/>
    <w:rsid w:val="003857DA"/>
    <w:rsid w:val="00386271"/>
    <w:rsid w:val="00386290"/>
    <w:rsid w:val="003863A9"/>
    <w:rsid w:val="00386761"/>
    <w:rsid w:val="00387294"/>
    <w:rsid w:val="00387A29"/>
    <w:rsid w:val="003908D8"/>
    <w:rsid w:val="0039138B"/>
    <w:rsid w:val="003914D8"/>
    <w:rsid w:val="003916C8"/>
    <w:rsid w:val="00391FC4"/>
    <w:rsid w:val="003923B0"/>
    <w:rsid w:val="0039312C"/>
    <w:rsid w:val="003931B6"/>
    <w:rsid w:val="0039335A"/>
    <w:rsid w:val="00393797"/>
    <w:rsid w:val="00393FA4"/>
    <w:rsid w:val="00394ED6"/>
    <w:rsid w:val="003954E2"/>
    <w:rsid w:val="00395CE9"/>
    <w:rsid w:val="003965F1"/>
    <w:rsid w:val="00396885"/>
    <w:rsid w:val="003974A5"/>
    <w:rsid w:val="003975C9"/>
    <w:rsid w:val="00397E24"/>
    <w:rsid w:val="003A00F4"/>
    <w:rsid w:val="003A01E2"/>
    <w:rsid w:val="003A0247"/>
    <w:rsid w:val="003A0923"/>
    <w:rsid w:val="003A0ED0"/>
    <w:rsid w:val="003A1B77"/>
    <w:rsid w:val="003A1C62"/>
    <w:rsid w:val="003A1E92"/>
    <w:rsid w:val="003A1EA1"/>
    <w:rsid w:val="003A3E34"/>
    <w:rsid w:val="003A4361"/>
    <w:rsid w:val="003A47A6"/>
    <w:rsid w:val="003A47B7"/>
    <w:rsid w:val="003A49F3"/>
    <w:rsid w:val="003A5E0B"/>
    <w:rsid w:val="003A6631"/>
    <w:rsid w:val="003A7749"/>
    <w:rsid w:val="003B1BF8"/>
    <w:rsid w:val="003B1C66"/>
    <w:rsid w:val="003B209C"/>
    <w:rsid w:val="003B29D3"/>
    <w:rsid w:val="003B408C"/>
    <w:rsid w:val="003B4DB7"/>
    <w:rsid w:val="003B4E8A"/>
    <w:rsid w:val="003B5F3D"/>
    <w:rsid w:val="003B5F57"/>
    <w:rsid w:val="003B67B9"/>
    <w:rsid w:val="003B67C6"/>
    <w:rsid w:val="003B6D78"/>
    <w:rsid w:val="003B7691"/>
    <w:rsid w:val="003B7827"/>
    <w:rsid w:val="003B795F"/>
    <w:rsid w:val="003B7A06"/>
    <w:rsid w:val="003C00E9"/>
    <w:rsid w:val="003C0E62"/>
    <w:rsid w:val="003C0E9C"/>
    <w:rsid w:val="003C18FF"/>
    <w:rsid w:val="003C1FD4"/>
    <w:rsid w:val="003C20BF"/>
    <w:rsid w:val="003C2D01"/>
    <w:rsid w:val="003C3C08"/>
    <w:rsid w:val="003C41A9"/>
    <w:rsid w:val="003C41DF"/>
    <w:rsid w:val="003C50BA"/>
    <w:rsid w:val="003C5A9E"/>
    <w:rsid w:val="003C5B0D"/>
    <w:rsid w:val="003D0253"/>
    <w:rsid w:val="003D0C17"/>
    <w:rsid w:val="003D0E23"/>
    <w:rsid w:val="003D101F"/>
    <w:rsid w:val="003D1587"/>
    <w:rsid w:val="003D214B"/>
    <w:rsid w:val="003D241A"/>
    <w:rsid w:val="003D249C"/>
    <w:rsid w:val="003D282C"/>
    <w:rsid w:val="003D2B59"/>
    <w:rsid w:val="003D2DA3"/>
    <w:rsid w:val="003D3013"/>
    <w:rsid w:val="003D30AE"/>
    <w:rsid w:val="003D3B08"/>
    <w:rsid w:val="003D3DF0"/>
    <w:rsid w:val="003D42AF"/>
    <w:rsid w:val="003D4B8B"/>
    <w:rsid w:val="003D50AA"/>
    <w:rsid w:val="003D5C8E"/>
    <w:rsid w:val="003D5E4D"/>
    <w:rsid w:val="003D5F4C"/>
    <w:rsid w:val="003D625F"/>
    <w:rsid w:val="003D6C4F"/>
    <w:rsid w:val="003D6CB1"/>
    <w:rsid w:val="003D77F6"/>
    <w:rsid w:val="003D7B6C"/>
    <w:rsid w:val="003E1EDC"/>
    <w:rsid w:val="003E1F3A"/>
    <w:rsid w:val="003E24AE"/>
    <w:rsid w:val="003E3030"/>
    <w:rsid w:val="003E326C"/>
    <w:rsid w:val="003E41B5"/>
    <w:rsid w:val="003E4A70"/>
    <w:rsid w:val="003E74CA"/>
    <w:rsid w:val="003E79D7"/>
    <w:rsid w:val="003F1B72"/>
    <w:rsid w:val="003F1EC4"/>
    <w:rsid w:val="003F2361"/>
    <w:rsid w:val="003F2C10"/>
    <w:rsid w:val="003F36BF"/>
    <w:rsid w:val="003F47B0"/>
    <w:rsid w:val="003F5CEE"/>
    <w:rsid w:val="003F615C"/>
    <w:rsid w:val="003F6797"/>
    <w:rsid w:val="003F6C65"/>
    <w:rsid w:val="003F72ED"/>
    <w:rsid w:val="003F7654"/>
    <w:rsid w:val="004000B0"/>
    <w:rsid w:val="00400C64"/>
    <w:rsid w:val="00400F68"/>
    <w:rsid w:val="004013CF"/>
    <w:rsid w:val="00401557"/>
    <w:rsid w:val="0040186E"/>
    <w:rsid w:val="00401E06"/>
    <w:rsid w:val="00403271"/>
    <w:rsid w:val="00403653"/>
    <w:rsid w:val="00403695"/>
    <w:rsid w:val="004039C2"/>
    <w:rsid w:val="004039D0"/>
    <w:rsid w:val="004039F1"/>
    <w:rsid w:val="00403D6B"/>
    <w:rsid w:val="004049D4"/>
    <w:rsid w:val="00405955"/>
    <w:rsid w:val="00406211"/>
    <w:rsid w:val="00406389"/>
    <w:rsid w:val="00406C7C"/>
    <w:rsid w:val="0040739C"/>
    <w:rsid w:val="004074DA"/>
    <w:rsid w:val="004075F8"/>
    <w:rsid w:val="00410858"/>
    <w:rsid w:val="00410E2B"/>
    <w:rsid w:val="004111DD"/>
    <w:rsid w:val="004111F7"/>
    <w:rsid w:val="004119B5"/>
    <w:rsid w:val="0041235A"/>
    <w:rsid w:val="00413429"/>
    <w:rsid w:val="00413688"/>
    <w:rsid w:val="0041419F"/>
    <w:rsid w:val="0041443E"/>
    <w:rsid w:val="0041510F"/>
    <w:rsid w:val="004155EA"/>
    <w:rsid w:val="004158EA"/>
    <w:rsid w:val="00415A59"/>
    <w:rsid w:val="00415BB8"/>
    <w:rsid w:val="00415F3D"/>
    <w:rsid w:val="0041686F"/>
    <w:rsid w:val="00416968"/>
    <w:rsid w:val="00417880"/>
    <w:rsid w:val="0042019A"/>
    <w:rsid w:val="0042059F"/>
    <w:rsid w:val="00420678"/>
    <w:rsid w:val="00422037"/>
    <w:rsid w:val="0042206D"/>
    <w:rsid w:val="00422182"/>
    <w:rsid w:val="00422221"/>
    <w:rsid w:val="004250BB"/>
    <w:rsid w:val="00425563"/>
    <w:rsid w:val="00425594"/>
    <w:rsid w:val="00425ED4"/>
    <w:rsid w:val="00427A52"/>
    <w:rsid w:val="004301E7"/>
    <w:rsid w:val="0043021F"/>
    <w:rsid w:val="00430C3D"/>
    <w:rsid w:val="00431223"/>
    <w:rsid w:val="004312A9"/>
    <w:rsid w:val="00431379"/>
    <w:rsid w:val="00431624"/>
    <w:rsid w:val="00433373"/>
    <w:rsid w:val="00434768"/>
    <w:rsid w:val="00435936"/>
    <w:rsid w:val="00435E5F"/>
    <w:rsid w:val="00435FB0"/>
    <w:rsid w:val="00436CFD"/>
    <w:rsid w:val="00437206"/>
    <w:rsid w:val="00437A25"/>
    <w:rsid w:val="00437B49"/>
    <w:rsid w:val="00437E95"/>
    <w:rsid w:val="00440129"/>
    <w:rsid w:val="004438B0"/>
    <w:rsid w:val="00443950"/>
    <w:rsid w:val="00444B16"/>
    <w:rsid w:val="004464CE"/>
    <w:rsid w:val="00446AE6"/>
    <w:rsid w:val="0044749D"/>
    <w:rsid w:val="004504C1"/>
    <w:rsid w:val="0045123E"/>
    <w:rsid w:val="00451F6B"/>
    <w:rsid w:val="00452748"/>
    <w:rsid w:val="00453597"/>
    <w:rsid w:val="00453C83"/>
    <w:rsid w:val="00453DD6"/>
    <w:rsid w:val="00453F36"/>
    <w:rsid w:val="00454E66"/>
    <w:rsid w:val="004551BF"/>
    <w:rsid w:val="00456AEA"/>
    <w:rsid w:val="00456F8B"/>
    <w:rsid w:val="00457248"/>
    <w:rsid w:val="00457DC6"/>
    <w:rsid w:val="0046050B"/>
    <w:rsid w:val="00461496"/>
    <w:rsid w:val="004614DA"/>
    <w:rsid w:val="0046180A"/>
    <w:rsid w:val="0046189D"/>
    <w:rsid w:val="004619F7"/>
    <w:rsid w:val="00461BB9"/>
    <w:rsid w:val="00461F38"/>
    <w:rsid w:val="0046208D"/>
    <w:rsid w:val="0046283A"/>
    <w:rsid w:val="004629DD"/>
    <w:rsid w:val="00463BA6"/>
    <w:rsid w:val="00463E92"/>
    <w:rsid w:val="0046418A"/>
    <w:rsid w:val="004643D6"/>
    <w:rsid w:val="00465209"/>
    <w:rsid w:val="00465651"/>
    <w:rsid w:val="004660F8"/>
    <w:rsid w:val="00466850"/>
    <w:rsid w:val="00466B53"/>
    <w:rsid w:val="00466E40"/>
    <w:rsid w:val="00466EE3"/>
    <w:rsid w:val="00467314"/>
    <w:rsid w:val="00470257"/>
    <w:rsid w:val="004708E7"/>
    <w:rsid w:val="00471700"/>
    <w:rsid w:val="00471902"/>
    <w:rsid w:val="0047201B"/>
    <w:rsid w:val="00472834"/>
    <w:rsid w:val="00472B78"/>
    <w:rsid w:val="00473BC5"/>
    <w:rsid w:val="00474BE9"/>
    <w:rsid w:val="00474DBF"/>
    <w:rsid w:val="00475465"/>
    <w:rsid w:val="00475506"/>
    <w:rsid w:val="0047705E"/>
    <w:rsid w:val="00480532"/>
    <w:rsid w:val="00482336"/>
    <w:rsid w:val="00483262"/>
    <w:rsid w:val="00483818"/>
    <w:rsid w:val="00483BE3"/>
    <w:rsid w:val="00483DD6"/>
    <w:rsid w:val="00483E07"/>
    <w:rsid w:val="00484F47"/>
    <w:rsid w:val="00485007"/>
    <w:rsid w:val="00485D99"/>
    <w:rsid w:val="0048606D"/>
    <w:rsid w:val="00486B84"/>
    <w:rsid w:val="00487518"/>
    <w:rsid w:val="00487754"/>
    <w:rsid w:val="00487EF8"/>
    <w:rsid w:val="00490309"/>
    <w:rsid w:val="004909C2"/>
    <w:rsid w:val="00490B85"/>
    <w:rsid w:val="0049251D"/>
    <w:rsid w:val="0049295E"/>
    <w:rsid w:val="00493A76"/>
    <w:rsid w:val="00493FFF"/>
    <w:rsid w:val="00494391"/>
    <w:rsid w:val="004946DC"/>
    <w:rsid w:val="00494C0A"/>
    <w:rsid w:val="00494E84"/>
    <w:rsid w:val="00495168"/>
    <w:rsid w:val="004958A4"/>
    <w:rsid w:val="00495D28"/>
    <w:rsid w:val="00497CE9"/>
    <w:rsid w:val="004A0098"/>
    <w:rsid w:val="004A0E9B"/>
    <w:rsid w:val="004A17EE"/>
    <w:rsid w:val="004A22DC"/>
    <w:rsid w:val="004A22FF"/>
    <w:rsid w:val="004A2BC3"/>
    <w:rsid w:val="004A3383"/>
    <w:rsid w:val="004A3C3F"/>
    <w:rsid w:val="004A3EB6"/>
    <w:rsid w:val="004A3F8A"/>
    <w:rsid w:val="004A410E"/>
    <w:rsid w:val="004A4412"/>
    <w:rsid w:val="004A63D4"/>
    <w:rsid w:val="004A7B66"/>
    <w:rsid w:val="004B0440"/>
    <w:rsid w:val="004B045D"/>
    <w:rsid w:val="004B11EA"/>
    <w:rsid w:val="004B1F0E"/>
    <w:rsid w:val="004B1FCC"/>
    <w:rsid w:val="004B22F7"/>
    <w:rsid w:val="004B29EA"/>
    <w:rsid w:val="004B2D74"/>
    <w:rsid w:val="004B2DCC"/>
    <w:rsid w:val="004B3007"/>
    <w:rsid w:val="004B3787"/>
    <w:rsid w:val="004B3F7A"/>
    <w:rsid w:val="004B4164"/>
    <w:rsid w:val="004B4241"/>
    <w:rsid w:val="004B5730"/>
    <w:rsid w:val="004B5AEB"/>
    <w:rsid w:val="004B5EB1"/>
    <w:rsid w:val="004B6A66"/>
    <w:rsid w:val="004B6DB5"/>
    <w:rsid w:val="004B6EB4"/>
    <w:rsid w:val="004B72D3"/>
    <w:rsid w:val="004C00A8"/>
    <w:rsid w:val="004C01BA"/>
    <w:rsid w:val="004C0519"/>
    <w:rsid w:val="004C0887"/>
    <w:rsid w:val="004C13AB"/>
    <w:rsid w:val="004C14D3"/>
    <w:rsid w:val="004C17B1"/>
    <w:rsid w:val="004C19AD"/>
    <w:rsid w:val="004C1EC8"/>
    <w:rsid w:val="004C2D63"/>
    <w:rsid w:val="004C3201"/>
    <w:rsid w:val="004C3283"/>
    <w:rsid w:val="004C3708"/>
    <w:rsid w:val="004C3ABB"/>
    <w:rsid w:val="004C53F2"/>
    <w:rsid w:val="004C62EB"/>
    <w:rsid w:val="004C64DA"/>
    <w:rsid w:val="004C699C"/>
    <w:rsid w:val="004C73D4"/>
    <w:rsid w:val="004C78B9"/>
    <w:rsid w:val="004C7992"/>
    <w:rsid w:val="004D01D0"/>
    <w:rsid w:val="004D0335"/>
    <w:rsid w:val="004D06AD"/>
    <w:rsid w:val="004D1095"/>
    <w:rsid w:val="004D1ACC"/>
    <w:rsid w:val="004D1AF8"/>
    <w:rsid w:val="004D1DEB"/>
    <w:rsid w:val="004D31D5"/>
    <w:rsid w:val="004D515B"/>
    <w:rsid w:val="004D53D0"/>
    <w:rsid w:val="004D594D"/>
    <w:rsid w:val="004D5CB0"/>
    <w:rsid w:val="004D6483"/>
    <w:rsid w:val="004D67C9"/>
    <w:rsid w:val="004D6BF4"/>
    <w:rsid w:val="004D7F74"/>
    <w:rsid w:val="004E016D"/>
    <w:rsid w:val="004E0994"/>
    <w:rsid w:val="004E0FFB"/>
    <w:rsid w:val="004E1935"/>
    <w:rsid w:val="004E1B5D"/>
    <w:rsid w:val="004E1E59"/>
    <w:rsid w:val="004E2B69"/>
    <w:rsid w:val="004E2C1B"/>
    <w:rsid w:val="004E2C97"/>
    <w:rsid w:val="004E32B0"/>
    <w:rsid w:val="004E34A1"/>
    <w:rsid w:val="004E37A1"/>
    <w:rsid w:val="004E384C"/>
    <w:rsid w:val="004E393F"/>
    <w:rsid w:val="004E3E68"/>
    <w:rsid w:val="004E4F24"/>
    <w:rsid w:val="004E5644"/>
    <w:rsid w:val="004E57FF"/>
    <w:rsid w:val="004E5CD2"/>
    <w:rsid w:val="004E61D3"/>
    <w:rsid w:val="004E6245"/>
    <w:rsid w:val="004E66F9"/>
    <w:rsid w:val="004E6809"/>
    <w:rsid w:val="004E756D"/>
    <w:rsid w:val="004F0AA0"/>
    <w:rsid w:val="004F0FDC"/>
    <w:rsid w:val="004F1134"/>
    <w:rsid w:val="004F187A"/>
    <w:rsid w:val="004F1905"/>
    <w:rsid w:val="004F1D58"/>
    <w:rsid w:val="004F1D70"/>
    <w:rsid w:val="004F1D80"/>
    <w:rsid w:val="004F2148"/>
    <w:rsid w:val="004F279B"/>
    <w:rsid w:val="004F2FEE"/>
    <w:rsid w:val="004F306A"/>
    <w:rsid w:val="004F31DE"/>
    <w:rsid w:val="004F3364"/>
    <w:rsid w:val="004F3616"/>
    <w:rsid w:val="004F407D"/>
    <w:rsid w:val="004F4378"/>
    <w:rsid w:val="004F457F"/>
    <w:rsid w:val="004F477C"/>
    <w:rsid w:val="004F5842"/>
    <w:rsid w:val="004F5F6F"/>
    <w:rsid w:val="004F6A45"/>
    <w:rsid w:val="004F7AF4"/>
    <w:rsid w:val="004F7BBB"/>
    <w:rsid w:val="004F7CB2"/>
    <w:rsid w:val="00500234"/>
    <w:rsid w:val="00500D7F"/>
    <w:rsid w:val="005014A9"/>
    <w:rsid w:val="0050173A"/>
    <w:rsid w:val="005026F5"/>
    <w:rsid w:val="00502EE5"/>
    <w:rsid w:val="005044AD"/>
    <w:rsid w:val="005047FB"/>
    <w:rsid w:val="0050549B"/>
    <w:rsid w:val="005058D6"/>
    <w:rsid w:val="00505B93"/>
    <w:rsid w:val="005061B8"/>
    <w:rsid w:val="0050649E"/>
    <w:rsid w:val="005066AC"/>
    <w:rsid w:val="00510753"/>
    <w:rsid w:val="005109A3"/>
    <w:rsid w:val="00510A2E"/>
    <w:rsid w:val="0051144A"/>
    <w:rsid w:val="00511D99"/>
    <w:rsid w:val="00511FD2"/>
    <w:rsid w:val="00512706"/>
    <w:rsid w:val="00512D54"/>
    <w:rsid w:val="00512E38"/>
    <w:rsid w:val="00513B3E"/>
    <w:rsid w:val="00514BDA"/>
    <w:rsid w:val="005154B8"/>
    <w:rsid w:val="005169DD"/>
    <w:rsid w:val="005171F7"/>
    <w:rsid w:val="005179BB"/>
    <w:rsid w:val="00517D9D"/>
    <w:rsid w:val="00517EA9"/>
    <w:rsid w:val="00520033"/>
    <w:rsid w:val="00520CC2"/>
    <w:rsid w:val="0052109F"/>
    <w:rsid w:val="00521504"/>
    <w:rsid w:val="0052219E"/>
    <w:rsid w:val="00522823"/>
    <w:rsid w:val="00522E14"/>
    <w:rsid w:val="00523907"/>
    <w:rsid w:val="00523BA2"/>
    <w:rsid w:val="00523E6F"/>
    <w:rsid w:val="00523FC3"/>
    <w:rsid w:val="005245C8"/>
    <w:rsid w:val="005249B3"/>
    <w:rsid w:val="00524DFB"/>
    <w:rsid w:val="00525887"/>
    <w:rsid w:val="00526AD8"/>
    <w:rsid w:val="00530212"/>
    <w:rsid w:val="005303AE"/>
    <w:rsid w:val="0053042E"/>
    <w:rsid w:val="00530D88"/>
    <w:rsid w:val="00530E05"/>
    <w:rsid w:val="0053277F"/>
    <w:rsid w:val="00532D2E"/>
    <w:rsid w:val="00533AE0"/>
    <w:rsid w:val="00534002"/>
    <w:rsid w:val="00534C79"/>
    <w:rsid w:val="0053611F"/>
    <w:rsid w:val="005368D8"/>
    <w:rsid w:val="00536A52"/>
    <w:rsid w:val="00536AF0"/>
    <w:rsid w:val="00536E34"/>
    <w:rsid w:val="0053755F"/>
    <w:rsid w:val="0054059C"/>
    <w:rsid w:val="0054073D"/>
    <w:rsid w:val="00540FF4"/>
    <w:rsid w:val="0054163D"/>
    <w:rsid w:val="005422B2"/>
    <w:rsid w:val="00542687"/>
    <w:rsid w:val="00543ADE"/>
    <w:rsid w:val="00543D22"/>
    <w:rsid w:val="00543D99"/>
    <w:rsid w:val="00543E1F"/>
    <w:rsid w:val="00543F16"/>
    <w:rsid w:val="005448CC"/>
    <w:rsid w:val="00545300"/>
    <w:rsid w:val="005456F3"/>
    <w:rsid w:val="00545829"/>
    <w:rsid w:val="005463D9"/>
    <w:rsid w:val="005470CE"/>
    <w:rsid w:val="00547219"/>
    <w:rsid w:val="0054758F"/>
    <w:rsid w:val="00547723"/>
    <w:rsid w:val="005477C4"/>
    <w:rsid w:val="0055032C"/>
    <w:rsid w:val="005507E9"/>
    <w:rsid w:val="00550CD1"/>
    <w:rsid w:val="0055106E"/>
    <w:rsid w:val="00551555"/>
    <w:rsid w:val="005518D3"/>
    <w:rsid w:val="00552578"/>
    <w:rsid w:val="0055278A"/>
    <w:rsid w:val="0055361C"/>
    <w:rsid w:val="00553A5F"/>
    <w:rsid w:val="00553C99"/>
    <w:rsid w:val="005547D1"/>
    <w:rsid w:val="00554B85"/>
    <w:rsid w:val="00555266"/>
    <w:rsid w:val="005558A5"/>
    <w:rsid w:val="0055599C"/>
    <w:rsid w:val="00555F4A"/>
    <w:rsid w:val="00556661"/>
    <w:rsid w:val="00556CEE"/>
    <w:rsid w:val="00557A55"/>
    <w:rsid w:val="00560285"/>
    <w:rsid w:val="005607BF"/>
    <w:rsid w:val="00560E96"/>
    <w:rsid w:val="00561399"/>
    <w:rsid w:val="00561C26"/>
    <w:rsid w:val="00561D3B"/>
    <w:rsid w:val="0056273E"/>
    <w:rsid w:val="00562DB7"/>
    <w:rsid w:val="005630AB"/>
    <w:rsid w:val="00563876"/>
    <w:rsid w:val="00563983"/>
    <w:rsid w:val="00563C5E"/>
    <w:rsid w:val="00565340"/>
    <w:rsid w:val="005653FC"/>
    <w:rsid w:val="0056544E"/>
    <w:rsid w:val="00565816"/>
    <w:rsid w:val="005671EB"/>
    <w:rsid w:val="005672CE"/>
    <w:rsid w:val="005675B2"/>
    <w:rsid w:val="005677B1"/>
    <w:rsid w:val="00570205"/>
    <w:rsid w:val="005709B3"/>
    <w:rsid w:val="00571387"/>
    <w:rsid w:val="00571AD6"/>
    <w:rsid w:val="00571EC0"/>
    <w:rsid w:val="00571EF6"/>
    <w:rsid w:val="00572610"/>
    <w:rsid w:val="005727F2"/>
    <w:rsid w:val="0057292B"/>
    <w:rsid w:val="00572F3F"/>
    <w:rsid w:val="005731A5"/>
    <w:rsid w:val="00573386"/>
    <w:rsid w:val="00574785"/>
    <w:rsid w:val="0057520D"/>
    <w:rsid w:val="005761BE"/>
    <w:rsid w:val="00576298"/>
    <w:rsid w:val="00576A63"/>
    <w:rsid w:val="005770BC"/>
    <w:rsid w:val="00577352"/>
    <w:rsid w:val="00577A3A"/>
    <w:rsid w:val="00577A3B"/>
    <w:rsid w:val="00577BFB"/>
    <w:rsid w:val="005803D6"/>
    <w:rsid w:val="005806BB"/>
    <w:rsid w:val="00580711"/>
    <w:rsid w:val="00580B85"/>
    <w:rsid w:val="00580F1B"/>
    <w:rsid w:val="005824C5"/>
    <w:rsid w:val="00582A0C"/>
    <w:rsid w:val="00583040"/>
    <w:rsid w:val="005832F9"/>
    <w:rsid w:val="00583938"/>
    <w:rsid w:val="00584205"/>
    <w:rsid w:val="005845E5"/>
    <w:rsid w:val="00584E44"/>
    <w:rsid w:val="00585C06"/>
    <w:rsid w:val="0058625D"/>
    <w:rsid w:val="00586F82"/>
    <w:rsid w:val="00587059"/>
    <w:rsid w:val="00590898"/>
    <w:rsid w:val="005908DC"/>
    <w:rsid w:val="0059170A"/>
    <w:rsid w:val="00591982"/>
    <w:rsid w:val="00591C83"/>
    <w:rsid w:val="00591E94"/>
    <w:rsid w:val="005921F1"/>
    <w:rsid w:val="00593AF7"/>
    <w:rsid w:val="00593FB1"/>
    <w:rsid w:val="00594D0D"/>
    <w:rsid w:val="00594DFC"/>
    <w:rsid w:val="00595AF6"/>
    <w:rsid w:val="00596929"/>
    <w:rsid w:val="00597145"/>
    <w:rsid w:val="005978B5"/>
    <w:rsid w:val="005A0CC9"/>
    <w:rsid w:val="005A0FB0"/>
    <w:rsid w:val="005A1069"/>
    <w:rsid w:val="005A140C"/>
    <w:rsid w:val="005A1725"/>
    <w:rsid w:val="005A1A70"/>
    <w:rsid w:val="005A1CB6"/>
    <w:rsid w:val="005A209A"/>
    <w:rsid w:val="005A2624"/>
    <w:rsid w:val="005A282B"/>
    <w:rsid w:val="005A29B4"/>
    <w:rsid w:val="005A2E5F"/>
    <w:rsid w:val="005A315E"/>
    <w:rsid w:val="005A33D1"/>
    <w:rsid w:val="005A363D"/>
    <w:rsid w:val="005A3A27"/>
    <w:rsid w:val="005A3B04"/>
    <w:rsid w:val="005A3C25"/>
    <w:rsid w:val="005A4E15"/>
    <w:rsid w:val="005A6364"/>
    <w:rsid w:val="005A69D3"/>
    <w:rsid w:val="005A71DC"/>
    <w:rsid w:val="005A73F3"/>
    <w:rsid w:val="005A77FA"/>
    <w:rsid w:val="005A7D7E"/>
    <w:rsid w:val="005B05BE"/>
    <w:rsid w:val="005B125C"/>
    <w:rsid w:val="005B1BC5"/>
    <w:rsid w:val="005B1BEF"/>
    <w:rsid w:val="005B2540"/>
    <w:rsid w:val="005B29FE"/>
    <w:rsid w:val="005B2B53"/>
    <w:rsid w:val="005B2CEF"/>
    <w:rsid w:val="005B30BB"/>
    <w:rsid w:val="005B3120"/>
    <w:rsid w:val="005B39D1"/>
    <w:rsid w:val="005B3F86"/>
    <w:rsid w:val="005B4C18"/>
    <w:rsid w:val="005B5045"/>
    <w:rsid w:val="005B5072"/>
    <w:rsid w:val="005B6134"/>
    <w:rsid w:val="005C0920"/>
    <w:rsid w:val="005C09B6"/>
    <w:rsid w:val="005C10C3"/>
    <w:rsid w:val="005C11C6"/>
    <w:rsid w:val="005C134F"/>
    <w:rsid w:val="005C158A"/>
    <w:rsid w:val="005C15F8"/>
    <w:rsid w:val="005C1929"/>
    <w:rsid w:val="005C21AD"/>
    <w:rsid w:val="005C24EC"/>
    <w:rsid w:val="005C33B0"/>
    <w:rsid w:val="005C3432"/>
    <w:rsid w:val="005C3F8E"/>
    <w:rsid w:val="005C4193"/>
    <w:rsid w:val="005C473E"/>
    <w:rsid w:val="005C4779"/>
    <w:rsid w:val="005C48A9"/>
    <w:rsid w:val="005C50F9"/>
    <w:rsid w:val="005C5730"/>
    <w:rsid w:val="005C602F"/>
    <w:rsid w:val="005C72A6"/>
    <w:rsid w:val="005C72F0"/>
    <w:rsid w:val="005C7857"/>
    <w:rsid w:val="005C7868"/>
    <w:rsid w:val="005D0B27"/>
    <w:rsid w:val="005D0C6F"/>
    <w:rsid w:val="005D1B4C"/>
    <w:rsid w:val="005D21CE"/>
    <w:rsid w:val="005D2307"/>
    <w:rsid w:val="005D2470"/>
    <w:rsid w:val="005D2985"/>
    <w:rsid w:val="005D2F59"/>
    <w:rsid w:val="005D4645"/>
    <w:rsid w:val="005D6B6D"/>
    <w:rsid w:val="005D7584"/>
    <w:rsid w:val="005D7793"/>
    <w:rsid w:val="005D77F8"/>
    <w:rsid w:val="005E2126"/>
    <w:rsid w:val="005E2729"/>
    <w:rsid w:val="005E3183"/>
    <w:rsid w:val="005E39DC"/>
    <w:rsid w:val="005E3C82"/>
    <w:rsid w:val="005E4419"/>
    <w:rsid w:val="005E4ECE"/>
    <w:rsid w:val="005E503B"/>
    <w:rsid w:val="005E559F"/>
    <w:rsid w:val="005E5765"/>
    <w:rsid w:val="005E5E36"/>
    <w:rsid w:val="005E6568"/>
    <w:rsid w:val="005E766B"/>
    <w:rsid w:val="005E7E8F"/>
    <w:rsid w:val="005F00D9"/>
    <w:rsid w:val="005F0833"/>
    <w:rsid w:val="005F09B0"/>
    <w:rsid w:val="005F0C5B"/>
    <w:rsid w:val="005F0F93"/>
    <w:rsid w:val="005F1682"/>
    <w:rsid w:val="005F2A18"/>
    <w:rsid w:val="005F315E"/>
    <w:rsid w:val="005F3EAA"/>
    <w:rsid w:val="005F4221"/>
    <w:rsid w:val="005F46C5"/>
    <w:rsid w:val="005F48C2"/>
    <w:rsid w:val="005F4D90"/>
    <w:rsid w:val="005F5BF7"/>
    <w:rsid w:val="005F6BBC"/>
    <w:rsid w:val="005F6C9D"/>
    <w:rsid w:val="005F6F70"/>
    <w:rsid w:val="005F749D"/>
    <w:rsid w:val="005F758E"/>
    <w:rsid w:val="005F7BB1"/>
    <w:rsid w:val="005F7EA1"/>
    <w:rsid w:val="005F7EE8"/>
    <w:rsid w:val="006012BF"/>
    <w:rsid w:val="0060145F"/>
    <w:rsid w:val="006014E7"/>
    <w:rsid w:val="00601AAC"/>
    <w:rsid w:val="00601CB0"/>
    <w:rsid w:val="00602102"/>
    <w:rsid w:val="0060295C"/>
    <w:rsid w:val="00602C6E"/>
    <w:rsid w:val="00602EEB"/>
    <w:rsid w:val="0060338E"/>
    <w:rsid w:val="00603767"/>
    <w:rsid w:val="00603B5D"/>
    <w:rsid w:val="00604709"/>
    <w:rsid w:val="00604BE4"/>
    <w:rsid w:val="006053C5"/>
    <w:rsid w:val="00605476"/>
    <w:rsid w:val="00606172"/>
    <w:rsid w:val="00606B04"/>
    <w:rsid w:val="00606CCB"/>
    <w:rsid w:val="00606CE5"/>
    <w:rsid w:val="00606D34"/>
    <w:rsid w:val="0060729A"/>
    <w:rsid w:val="0060795A"/>
    <w:rsid w:val="00607A0E"/>
    <w:rsid w:val="00610038"/>
    <w:rsid w:val="00610491"/>
    <w:rsid w:val="00610743"/>
    <w:rsid w:val="00610AE6"/>
    <w:rsid w:val="006111AE"/>
    <w:rsid w:val="006119F5"/>
    <w:rsid w:val="00611E5F"/>
    <w:rsid w:val="00612B35"/>
    <w:rsid w:val="00613082"/>
    <w:rsid w:val="006131BD"/>
    <w:rsid w:val="006142F7"/>
    <w:rsid w:val="006147AD"/>
    <w:rsid w:val="00614D23"/>
    <w:rsid w:val="00614DBB"/>
    <w:rsid w:val="006150FF"/>
    <w:rsid w:val="006154F9"/>
    <w:rsid w:val="006158E7"/>
    <w:rsid w:val="006161AF"/>
    <w:rsid w:val="006169FB"/>
    <w:rsid w:val="00616C02"/>
    <w:rsid w:val="00617553"/>
    <w:rsid w:val="006177C4"/>
    <w:rsid w:val="00617A66"/>
    <w:rsid w:val="00617D4F"/>
    <w:rsid w:val="00617D99"/>
    <w:rsid w:val="00620069"/>
    <w:rsid w:val="00620543"/>
    <w:rsid w:val="00621BF3"/>
    <w:rsid w:val="006220DF"/>
    <w:rsid w:val="00622639"/>
    <w:rsid w:val="006228DD"/>
    <w:rsid w:val="00622BE1"/>
    <w:rsid w:val="006232C3"/>
    <w:rsid w:val="00623D2B"/>
    <w:rsid w:val="00623DEC"/>
    <w:rsid w:val="00623FBF"/>
    <w:rsid w:val="00624766"/>
    <w:rsid w:val="006258CD"/>
    <w:rsid w:val="00625CD9"/>
    <w:rsid w:val="0062631D"/>
    <w:rsid w:val="006275F1"/>
    <w:rsid w:val="0062778C"/>
    <w:rsid w:val="00627833"/>
    <w:rsid w:val="00627B55"/>
    <w:rsid w:val="00627E03"/>
    <w:rsid w:val="00630633"/>
    <w:rsid w:val="00630A00"/>
    <w:rsid w:val="00630A11"/>
    <w:rsid w:val="00630B6D"/>
    <w:rsid w:val="0063129D"/>
    <w:rsid w:val="006314DA"/>
    <w:rsid w:val="00632355"/>
    <w:rsid w:val="00632470"/>
    <w:rsid w:val="0063279F"/>
    <w:rsid w:val="00632A5A"/>
    <w:rsid w:val="00634211"/>
    <w:rsid w:val="00634919"/>
    <w:rsid w:val="00635040"/>
    <w:rsid w:val="00635169"/>
    <w:rsid w:val="00635385"/>
    <w:rsid w:val="00635831"/>
    <w:rsid w:val="00636564"/>
    <w:rsid w:val="00636E44"/>
    <w:rsid w:val="0063756B"/>
    <w:rsid w:val="006378C9"/>
    <w:rsid w:val="00637913"/>
    <w:rsid w:val="006379E3"/>
    <w:rsid w:val="00637C06"/>
    <w:rsid w:val="006403AD"/>
    <w:rsid w:val="00640824"/>
    <w:rsid w:val="0064163B"/>
    <w:rsid w:val="00641CBE"/>
    <w:rsid w:val="00643AEE"/>
    <w:rsid w:val="0064456C"/>
    <w:rsid w:val="00644C45"/>
    <w:rsid w:val="00644CF5"/>
    <w:rsid w:val="00644D85"/>
    <w:rsid w:val="00646455"/>
    <w:rsid w:val="00646C30"/>
    <w:rsid w:val="006470EE"/>
    <w:rsid w:val="006476D1"/>
    <w:rsid w:val="006477D5"/>
    <w:rsid w:val="00647800"/>
    <w:rsid w:val="00647805"/>
    <w:rsid w:val="00650117"/>
    <w:rsid w:val="006501D3"/>
    <w:rsid w:val="00650748"/>
    <w:rsid w:val="00650A88"/>
    <w:rsid w:val="00650C1A"/>
    <w:rsid w:val="00650E9A"/>
    <w:rsid w:val="0065124E"/>
    <w:rsid w:val="00651343"/>
    <w:rsid w:val="0065231B"/>
    <w:rsid w:val="0065248E"/>
    <w:rsid w:val="00653BEB"/>
    <w:rsid w:val="00655174"/>
    <w:rsid w:val="00655E8D"/>
    <w:rsid w:val="00656AA8"/>
    <w:rsid w:val="0065750A"/>
    <w:rsid w:val="00657EA8"/>
    <w:rsid w:val="0066038D"/>
    <w:rsid w:val="00660791"/>
    <w:rsid w:val="006607DE"/>
    <w:rsid w:val="0066094D"/>
    <w:rsid w:val="00660986"/>
    <w:rsid w:val="0066123B"/>
    <w:rsid w:val="00661913"/>
    <w:rsid w:val="00661920"/>
    <w:rsid w:val="006628A5"/>
    <w:rsid w:val="00662AFA"/>
    <w:rsid w:val="00662D5D"/>
    <w:rsid w:val="00663149"/>
    <w:rsid w:val="00663D8B"/>
    <w:rsid w:val="00664176"/>
    <w:rsid w:val="006654D1"/>
    <w:rsid w:val="00665924"/>
    <w:rsid w:val="00665EDD"/>
    <w:rsid w:val="00665EE5"/>
    <w:rsid w:val="00666C24"/>
    <w:rsid w:val="0066731D"/>
    <w:rsid w:val="0067014C"/>
    <w:rsid w:val="0067017D"/>
    <w:rsid w:val="0067039E"/>
    <w:rsid w:val="00670CB1"/>
    <w:rsid w:val="006714BD"/>
    <w:rsid w:val="00671D1C"/>
    <w:rsid w:val="006721F7"/>
    <w:rsid w:val="006727A7"/>
    <w:rsid w:val="00672B41"/>
    <w:rsid w:val="00672CDA"/>
    <w:rsid w:val="00673485"/>
    <w:rsid w:val="006755D9"/>
    <w:rsid w:val="0067630B"/>
    <w:rsid w:val="00677C3B"/>
    <w:rsid w:val="0068027D"/>
    <w:rsid w:val="006805FE"/>
    <w:rsid w:val="0068064A"/>
    <w:rsid w:val="0068068B"/>
    <w:rsid w:val="0068068C"/>
    <w:rsid w:val="00680740"/>
    <w:rsid w:val="00681114"/>
    <w:rsid w:val="006812F3"/>
    <w:rsid w:val="00681521"/>
    <w:rsid w:val="00681FD7"/>
    <w:rsid w:val="006829E2"/>
    <w:rsid w:val="006839D1"/>
    <w:rsid w:val="00684006"/>
    <w:rsid w:val="00684053"/>
    <w:rsid w:val="00684A67"/>
    <w:rsid w:val="00685813"/>
    <w:rsid w:val="0068585E"/>
    <w:rsid w:val="00685AA3"/>
    <w:rsid w:val="00685C32"/>
    <w:rsid w:val="00685F4D"/>
    <w:rsid w:val="0068603D"/>
    <w:rsid w:val="00686147"/>
    <w:rsid w:val="0068650A"/>
    <w:rsid w:val="00686755"/>
    <w:rsid w:val="00687144"/>
    <w:rsid w:val="00687AD3"/>
    <w:rsid w:val="00687FE5"/>
    <w:rsid w:val="0069090D"/>
    <w:rsid w:val="006909AA"/>
    <w:rsid w:val="006909FC"/>
    <w:rsid w:val="00690D94"/>
    <w:rsid w:val="00691161"/>
    <w:rsid w:val="006912EF"/>
    <w:rsid w:val="00691653"/>
    <w:rsid w:val="00691EEB"/>
    <w:rsid w:val="00692B9D"/>
    <w:rsid w:val="006932BB"/>
    <w:rsid w:val="00693417"/>
    <w:rsid w:val="00693619"/>
    <w:rsid w:val="00694B08"/>
    <w:rsid w:val="00695201"/>
    <w:rsid w:val="00695538"/>
    <w:rsid w:val="00695CCF"/>
    <w:rsid w:val="00695EF9"/>
    <w:rsid w:val="00696722"/>
    <w:rsid w:val="00696740"/>
    <w:rsid w:val="006969A4"/>
    <w:rsid w:val="006974E3"/>
    <w:rsid w:val="00697B96"/>
    <w:rsid w:val="006A1353"/>
    <w:rsid w:val="006A21FC"/>
    <w:rsid w:val="006A249B"/>
    <w:rsid w:val="006A2758"/>
    <w:rsid w:val="006A2A2E"/>
    <w:rsid w:val="006A3332"/>
    <w:rsid w:val="006A384E"/>
    <w:rsid w:val="006A3AE4"/>
    <w:rsid w:val="006A3CF1"/>
    <w:rsid w:val="006A41F5"/>
    <w:rsid w:val="006A5A21"/>
    <w:rsid w:val="006A5AFF"/>
    <w:rsid w:val="006A6C6F"/>
    <w:rsid w:val="006A7024"/>
    <w:rsid w:val="006A75C7"/>
    <w:rsid w:val="006A774F"/>
    <w:rsid w:val="006A79F2"/>
    <w:rsid w:val="006A7E6D"/>
    <w:rsid w:val="006B0113"/>
    <w:rsid w:val="006B066D"/>
    <w:rsid w:val="006B0B34"/>
    <w:rsid w:val="006B0D31"/>
    <w:rsid w:val="006B1083"/>
    <w:rsid w:val="006B187C"/>
    <w:rsid w:val="006B1F0A"/>
    <w:rsid w:val="006B2898"/>
    <w:rsid w:val="006B2DF0"/>
    <w:rsid w:val="006B3173"/>
    <w:rsid w:val="006B35C1"/>
    <w:rsid w:val="006B3775"/>
    <w:rsid w:val="006B4D5E"/>
    <w:rsid w:val="006B52D0"/>
    <w:rsid w:val="006B5507"/>
    <w:rsid w:val="006B5ABD"/>
    <w:rsid w:val="006B70E1"/>
    <w:rsid w:val="006B74C4"/>
    <w:rsid w:val="006B77C4"/>
    <w:rsid w:val="006B7946"/>
    <w:rsid w:val="006C0090"/>
    <w:rsid w:val="006C0250"/>
    <w:rsid w:val="006C0284"/>
    <w:rsid w:val="006C134C"/>
    <w:rsid w:val="006C1AED"/>
    <w:rsid w:val="006C23B5"/>
    <w:rsid w:val="006C28A4"/>
    <w:rsid w:val="006C2A43"/>
    <w:rsid w:val="006C2F5A"/>
    <w:rsid w:val="006C316E"/>
    <w:rsid w:val="006C3F6E"/>
    <w:rsid w:val="006C4E98"/>
    <w:rsid w:val="006C5196"/>
    <w:rsid w:val="006C52B8"/>
    <w:rsid w:val="006C556A"/>
    <w:rsid w:val="006C7528"/>
    <w:rsid w:val="006C7756"/>
    <w:rsid w:val="006C792B"/>
    <w:rsid w:val="006C7F68"/>
    <w:rsid w:val="006D0046"/>
    <w:rsid w:val="006D024C"/>
    <w:rsid w:val="006D0998"/>
    <w:rsid w:val="006D0A18"/>
    <w:rsid w:val="006D0DCC"/>
    <w:rsid w:val="006D1D93"/>
    <w:rsid w:val="006D261B"/>
    <w:rsid w:val="006D3E1E"/>
    <w:rsid w:val="006D483D"/>
    <w:rsid w:val="006D4A5C"/>
    <w:rsid w:val="006D4CF7"/>
    <w:rsid w:val="006D4FFD"/>
    <w:rsid w:val="006D6469"/>
    <w:rsid w:val="006D663F"/>
    <w:rsid w:val="006D6D4E"/>
    <w:rsid w:val="006D6E2D"/>
    <w:rsid w:val="006D71B3"/>
    <w:rsid w:val="006D7246"/>
    <w:rsid w:val="006D7538"/>
    <w:rsid w:val="006E0283"/>
    <w:rsid w:val="006E044B"/>
    <w:rsid w:val="006E09AF"/>
    <w:rsid w:val="006E10FB"/>
    <w:rsid w:val="006E13D8"/>
    <w:rsid w:val="006E22EE"/>
    <w:rsid w:val="006E2359"/>
    <w:rsid w:val="006E242F"/>
    <w:rsid w:val="006E24AA"/>
    <w:rsid w:val="006E2563"/>
    <w:rsid w:val="006E270B"/>
    <w:rsid w:val="006E27DB"/>
    <w:rsid w:val="006E2E89"/>
    <w:rsid w:val="006E3048"/>
    <w:rsid w:val="006E34F9"/>
    <w:rsid w:val="006E3608"/>
    <w:rsid w:val="006E3BC9"/>
    <w:rsid w:val="006E4339"/>
    <w:rsid w:val="006E4F71"/>
    <w:rsid w:val="006E522C"/>
    <w:rsid w:val="006E55CE"/>
    <w:rsid w:val="006E64BE"/>
    <w:rsid w:val="006F0B7A"/>
    <w:rsid w:val="006F1D55"/>
    <w:rsid w:val="006F2399"/>
    <w:rsid w:val="006F23AE"/>
    <w:rsid w:val="006F2437"/>
    <w:rsid w:val="006F250A"/>
    <w:rsid w:val="006F2ECC"/>
    <w:rsid w:val="006F334B"/>
    <w:rsid w:val="006F4A56"/>
    <w:rsid w:val="006F59FD"/>
    <w:rsid w:val="006F5A10"/>
    <w:rsid w:val="006F63F3"/>
    <w:rsid w:val="006F64AF"/>
    <w:rsid w:val="006F75E6"/>
    <w:rsid w:val="006F78B6"/>
    <w:rsid w:val="006F7B65"/>
    <w:rsid w:val="007006B2"/>
    <w:rsid w:val="00700984"/>
    <w:rsid w:val="00700AA4"/>
    <w:rsid w:val="007019F2"/>
    <w:rsid w:val="00702EE0"/>
    <w:rsid w:val="007033F4"/>
    <w:rsid w:val="00703747"/>
    <w:rsid w:val="00704481"/>
    <w:rsid w:val="007044B6"/>
    <w:rsid w:val="00705090"/>
    <w:rsid w:val="00705788"/>
    <w:rsid w:val="007063E1"/>
    <w:rsid w:val="00706710"/>
    <w:rsid w:val="00706714"/>
    <w:rsid w:val="00706C72"/>
    <w:rsid w:val="00706F2D"/>
    <w:rsid w:val="0070717C"/>
    <w:rsid w:val="007076D3"/>
    <w:rsid w:val="00710446"/>
    <w:rsid w:val="007108CD"/>
    <w:rsid w:val="007109EF"/>
    <w:rsid w:val="0071152B"/>
    <w:rsid w:val="00711564"/>
    <w:rsid w:val="00711A23"/>
    <w:rsid w:val="007141D0"/>
    <w:rsid w:val="0071447E"/>
    <w:rsid w:val="007146B0"/>
    <w:rsid w:val="00714770"/>
    <w:rsid w:val="007147A3"/>
    <w:rsid w:val="00715830"/>
    <w:rsid w:val="007164FF"/>
    <w:rsid w:val="007165B8"/>
    <w:rsid w:val="007169AE"/>
    <w:rsid w:val="0071761A"/>
    <w:rsid w:val="007177FC"/>
    <w:rsid w:val="007213EA"/>
    <w:rsid w:val="007223F1"/>
    <w:rsid w:val="00722969"/>
    <w:rsid w:val="00723543"/>
    <w:rsid w:val="0072368D"/>
    <w:rsid w:val="007237E9"/>
    <w:rsid w:val="00723BCD"/>
    <w:rsid w:val="00723FD1"/>
    <w:rsid w:val="0072499C"/>
    <w:rsid w:val="00725C19"/>
    <w:rsid w:val="0072617B"/>
    <w:rsid w:val="007261F5"/>
    <w:rsid w:val="00726B31"/>
    <w:rsid w:val="00726F70"/>
    <w:rsid w:val="00727634"/>
    <w:rsid w:val="00727B7B"/>
    <w:rsid w:val="0073049E"/>
    <w:rsid w:val="0073084C"/>
    <w:rsid w:val="0073087A"/>
    <w:rsid w:val="0073125C"/>
    <w:rsid w:val="0073144E"/>
    <w:rsid w:val="007317D9"/>
    <w:rsid w:val="00731F2B"/>
    <w:rsid w:val="00732DA7"/>
    <w:rsid w:val="00732E6A"/>
    <w:rsid w:val="00732FDB"/>
    <w:rsid w:val="0073367D"/>
    <w:rsid w:val="00733752"/>
    <w:rsid w:val="00733C46"/>
    <w:rsid w:val="007348F6"/>
    <w:rsid w:val="007354F2"/>
    <w:rsid w:val="00736B3F"/>
    <w:rsid w:val="00737278"/>
    <w:rsid w:val="0073754C"/>
    <w:rsid w:val="00737A2F"/>
    <w:rsid w:val="00740405"/>
    <w:rsid w:val="007405FA"/>
    <w:rsid w:val="00740CF1"/>
    <w:rsid w:val="007412F0"/>
    <w:rsid w:val="0074250B"/>
    <w:rsid w:val="00742521"/>
    <w:rsid w:val="00742895"/>
    <w:rsid w:val="00742EE2"/>
    <w:rsid w:val="007431D6"/>
    <w:rsid w:val="007432FB"/>
    <w:rsid w:val="007441ED"/>
    <w:rsid w:val="00744435"/>
    <w:rsid w:val="0074480C"/>
    <w:rsid w:val="0074509E"/>
    <w:rsid w:val="0074542F"/>
    <w:rsid w:val="007459B8"/>
    <w:rsid w:val="00745F03"/>
    <w:rsid w:val="00745F5B"/>
    <w:rsid w:val="00746602"/>
    <w:rsid w:val="00746C5D"/>
    <w:rsid w:val="00746C68"/>
    <w:rsid w:val="00746EFF"/>
    <w:rsid w:val="00747219"/>
    <w:rsid w:val="00747569"/>
    <w:rsid w:val="00750E5E"/>
    <w:rsid w:val="00751791"/>
    <w:rsid w:val="00752436"/>
    <w:rsid w:val="007527DE"/>
    <w:rsid w:val="007534D1"/>
    <w:rsid w:val="007535E7"/>
    <w:rsid w:val="0075406F"/>
    <w:rsid w:val="007541AF"/>
    <w:rsid w:val="00754C95"/>
    <w:rsid w:val="00755686"/>
    <w:rsid w:val="007557F6"/>
    <w:rsid w:val="00756384"/>
    <w:rsid w:val="007563E8"/>
    <w:rsid w:val="00756B21"/>
    <w:rsid w:val="00756E4E"/>
    <w:rsid w:val="00757213"/>
    <w:rsid w:val="00760920"/>
    <w:rsid w:val="00760A03"/>
    <w:rsid w:val="00760C5A"/>
    <w:rsid w:val="00760F80"/>
    <w:rsid w:val="00762233"/>
    <w:rsid w:val="007624BA"/>
    <w:rsid w:val="00762B96"/>
    <w:rsid w:val="007634F3"/>
    <w:rsid w:val="00763770"/>
    <w:rsid w:val="00763C03"/>
    <w:rsid w:val="00763EDE"/>
    <w:rsid w:val="00763F91"/>
    <w:rsid w:val="00764AEA"/>
    <w:rsid w:val="00764D7F"/>
    <w:rsid w:val="00765BEE"/>
    <w:rsid w:val="0076618F"/>
    <w:rsid w:val="007665B5"/>
    <w:rsid w:val="00766C58"/>
    <w:rsid w:val="007679FD"/>
    <w:rsid w:val="00767F9F"/>
    <w:rsid w:val="0077092A"/>
    <w:rsid w:val="00770EED"/>
    <w:rsid w:val="0077104C"/>
    <w:rsid w:val="007714A0"/>
    <w:rsid w:val="007714A8"/>
    <w:rsid w:val="00772122"/>
    <w:rsid w:val="00772284"/>
    <w:rsid w:val="007724D4"/>
    <w:rsid w:val="00772CDB"/>
    <w:rsid w:val="0077367C"/>
    <w:rsid w:val="00773789"/>
    <w:rsid w:val="00773EAB"/>
    <w:rsid w:val="00774425"/>
    <w:rsid w:val="0077525F"/>
    <w:rsid w:val="00775E79"/>
    <w:rsid w:val="00776328"/>
    <w:rsid w:val="007763E6"/>
    <w:rsid w:val="0077665A"/>
    <w:rsid w:val="00776C20"/>
    <w:rsid w:val="00776F3B"/>
    <w:rsid w:val="007773C2"/>
    <w:rsid w:val="00777650"/>
    <w:rsid w:val="0077780D"/>
    <w:rsid w:val="0077799E"/>
    <w:rsid w:val="007806E0"/>
    <w:rsid w:val="007806F9"/>
    <w:rsid w:val="00780BF1"/>
    <w:rsid w:val="00781305"/>
    <w:rsid w:val="00782241"/>
    <w:rsid w:val="00782599"/>
    <w:rsid w:val="007825CF"/>
    <w:rsid w:val="00782C1A"/>
    <w:rsid w:val="0078312F"/>
    <w:rsid w:val="00783212"/>
    <w:rsid w:val="00783E5F"/>
    <w:rsid w:val="00783E80"/>
    <w:rsid w:val="00783FF8"/>
    <w:rsid w:val="00785BC5"/>
    <w:rsid w:val="007861F7"/>
    <w:rsid w:val="0078719F"/>
    <w:rsid w:val="00787846"/>
    <w:rsid w:val="007906F2"/>
    <w:rsid w:val="0079093A"/>
    <w:rsid w:val="00790A3F"/>
    <w:rsid w:val="00790D57"/>
    <w:rsid w:val="00790EB2"/>
    <w:rsid w:val="0079133F"/>
    <w:rsid w:val="00791522"/>
    <w:rsid w:val="00791EDA"/>
    <w:rsid w:val="0079250C"/>
    <w:rsid w:val="00792ED3"/>
    <w:rsid w:val="0079415C"/>
    <w:rsid w:val="00794298"/>
    <w:rsid w:val="007949FB"/>
    <w:rsid w:val="0079557B"/>
    <w:rsid w:val="00796640"/>
    <w:rsid w:val="0079716D"/>
    <w:rsid w:val="00797645"/>
    <w:rsid w:val="00797C60"/>
    <w:rsid w:val="007A021E"/>
    <w:rsid w:val="007A033F"/>
    <w:rsid w:val="007A0407"/>
    <w:rsid w:val="007A116F"/>
    <w:rsid w:val="007A1B75"/>
    <w:rsid w:val="007A28C1"/>
    <w:rsid w:val="007A31BD"/>
    <w:rsid w:val="007A334E"/>
    <w:rsid w:val="007A3CEF"/>
    <w:rsid w:val="007A403B"/>
    <w:rsid w:val="007A4290"/>
    <w:rsid w:val="007A4F1C"/>
    <w:rsid w:val="007A559E"/>
    <w:rsid w:val="007A5765"/>
    <w:rsid w:val="007A59A3"/>
    <w:rsid w:val="007A5D03"/>
    <w:rsid w:val="007A6293"/>
    <w:rsid w:val="007A662A"/>
    <w:rsid w:val="007A6828"/>
    <w:rsid w:val="007A6E85"/>
    <w:rsid w:val="007A70B0"/>
    <w:rsid w:val="007A725E"/>
    <w:rsid w:val="007A7343"/>
    <w:rsid w:val="007A7A3B"/>
    <w:rsid w:val="007A7C3F"/>
    <w:rsid w:val="007B0238"/>
    <w:rsid w:val="007B0AAE"/>
    <w:rsid w:val="007B0C81"/>
    <w:rsid w:val="007B0DF9"/>
    <w:rsid w:val="007B12AC"/>
    <w:rsid w:val="007B1B53"/>
    <w:rsid w:val="007B20BC"/>
    <w:rsid w:val="007B2657"/>
    <w:rsid w:val="007B2891"/>
    <w:rsid w:val="007B2A0D"/>
    <w:rsid w:val="007B2D61"/>
    <w:rsid w:val="007B3004"/>
    <w:rsid w:val="007B4A4D"/>
    <w:rsid w:val="007B4A5E"/>
    <w:rsid w:val="007B51DC"/>
    <w:rsid w:val="007B5661"/>
    <w:rsid w:val="007B58E3"/>
    <w:rsid w:val="007B629E"/>
    <w:rsid w:val="007B6597"/>
    <w:rsid w:val="007B66BC"/>
    <w:rsid w:val="007B6E3D"/>
    <w:rsid w:val="007B6EE4"/>
    <w:rsid w:val="007B7514"/>
    <w:rsid w:val="007B78FD"/>
    <w:rsid w:val="007B79B5"/>
    <w:rsid w:val="007C0015"/>
    <w:rsid w:val="007C018C"/>
    <w:rsid w:val="007C0BF9"/>
    <w:rsid w:val="007C1026"/>
    <w:rsid w:val="007C1097"/>
    <w:rsid w:val="007C1AA7"/>
    <w:rsid w:val="007C28A7"/>
    <w:rsid w:val="007C40B0"/>
    <w:rsid w:val="007C431E"/>
    <w:rsid w:val="007C4C3C"/>
    <w:rsid w:val="007C5201"/>
    <w:rsid w:val="007C574B"/>
    <w:rsid w:val="007C5FDF"/>
    <w:rsid w:val="007C60BD"/>
    <w:rsid w:val="007C60CF"/>
    <w:rsid w:val="007C6D37"/>
    <w:rsid w:val="007C7011"/>
    <w:rsid w:val="007C79E5"/>
    <w:rsid w:val="007C7B77"/>
    <w:rsid w:val="007C7DE4"/>
    <w:rsid w:val="007D07CC"/>
    <w:rsid w:val="007D0F1F"/>
    <w:rsid w:val="007D0F5E"/>
    <w:rsid w:val="007D10D2"/>
    <w:rsid w:val="007D114A"/>
    <w:rsid w:val="007D13FC"/>
    <w:rsid w:val="007D2405"/>
    <w:rsid w:val="007D2745"/>
    <w:rsid w:val="007D2DB4"/>
    <w:rsid w:val="007D2FA6"/>
    <w:rsid w:val="007D31A4"/>
    <w:rsid w:val="007D47C7"/>
    <w:rsid w:val="007D4C1B"/>
    <w:rsid w:val="007D4ED1"/>
    <w:rsid w:val="007D619F"/>
    <w:rsid w:val="007D6905"/>
    <w:rsid w:val="007D6924"/>
    <w:rsid w:val="007D6AFC"/>
    <w:rsid w:val="007D6F0B"/>
    <w:rsid w:val="007D77D0"/>
    <w:rsid w:val="007D79BA"/>
    <w:rsid w:val="007E0070"/>
    <w:rsid w:val="007E0073"/>
    <w:rsid w:val="007E11E4"/>
    <w:rsid w:val="007E1431"/>
    <w:rsid w:val="007E1590"/>
    <w:rsid w:val="007E19A6"/>
    <w:rsid w:val="007E19C0"/>
    <w:rsid w:val="007E1AF3"/>
    <w:rsid w:val="007E1D56"/>
    <w:rsid w:val="007E2199"/>
    <w:rsid w:val="007E21A8"/>
    <w:rsid w:val="007E226C"/>
    <w:rsid w:val="007E229B"/>
    <w:rsid w:val="007E2E24"/>
    <w:rsid w:val="007E3244"/>
    <w:rsid w:val="007E32EB"/>
    <w:rsid w:val="007E3A62"/>
    <w:rsid w:val="007E3E88"/>
    <w:rsid w:val="007E5B2B"/>
    <w:rsid w:val="007E60FE"/>
    <w:rsid w:val="007E67F3"/>
    <w:rsid w:val="007E714C"/>
    <w:rsid w:val="007E7668"/>
    <w:rsid w:val="007F076B"/>
    <w:rsid w:val="007F0C2A"/>
    <w:rsid w:val="007F252D"/>
    <w:rsid w:val="007F25F1"/>
    <w:rsid w:val="007F264E"/>
    <w:rsid w:val="007F3365"/>
    <w:rsid w:val="007F3796"/>
    <w:rsid w:val="007F394E"/>
    <w:rsid w:val="007F3A73"/>
    <w:rsid w:val="007F3AD6"/>
    <w:rsid w:val="007F3F24"/>
    <w:rsid w:val="007F4617"/>
    <w:rsid w:val="007F462A"/>
    <w:rsid w:val="007F4FE2"/>
    <w:rsid w:val="007F53CC"/>
    <w:rsid w:val="007F5997"/>
    <w:rsid w:val="007F5A9D"/>
    <w:rsid w:val="007F5D57"/>
    <w:rsid w:val="007F63A4"/>
    <w:rsid w:val="007F6E82"/>
    <w:rsid w:val="007F70C2"/>
    <w:rsid w:val="00800492"/>
    <w:rsid w:val="008006AE"/>
    <w:rsid w:val="00800A36"/>
    <w:rsid w:val="00800DDF"/>
    <w:rsid w:val="00801692"/>
    <w:rsid w:val="00801870"/>
    <w:rsid w:val="00801EBF"/>
    <w:rsid w:val="00802596"/>
    <w:rsid w:val="0080262F"/>
    <w:rsid w:val="00802A2C"/>
    <w:rsid w:val="00802BE0"/>
    <w:rsid w:val="00803180"/>
    <w:rsid w:val="008035E1"/>
    <w:rsid w:val="00804B59"/>
    <w:rsid w:val="008056AA"/>
    <w:rsid w:val="00805FAC"/>
    <w:rsid w:val="0080665A"/>
    <w:rsid w:val="00806F07"/>
    <w:rsid w:val="008078AD"/>
    <w:rsid w:val="00810846"/>
    <w:rsid w:val="00810FB2"/>
    <w:rsid w:val="00811144"/>
    <w:rsid w:val="00812165"/>
    <w:rsid w:val="00812548"/>
    <w:rsid w:val="00812DAA"/>
    <w:rsid w:val="00813925"/>
    <w:rsid w:val="008148B8"/>
    <w:rsid w:val="00815954"/>
    <w:rsid w:val="0081691A"/>
    <w:rsid w:val="00816D23"/>
    <w:rsid w:val="00816E85"/>
    <w:rsid w:val="00816FC5"/>
    <w:rsid w:val="00817DCD"/>
    <w:rsid w:val="008203CC"/>
    <w:rsid w:val="00820B62"/>
    <w:rsid w:val="00821334"/>
    <w:rsid w:val="00821DBF"/>
    <w:rsid w:val="00821FA4"/>
    <w:rsid w:val="00822503"/>
    <w:rsid w:val="00822999"/>
    <w:rsid w:val="0082312D"/>
    <w:rsid w:val="008232F2"/>
    <w:rsid w:val="008236B7"/>
    <w:rsid w:val="00824125"/>
    <w:rsid w:val="008242EB"/>
    <w:rsid w:val="00824745"/>
    <w:rsid w:val="008249F1"/>
    <w:rsid w:val="00824B64"/>
    <w:rsid w:val="0082528D"/>
    <w:rsid w:val="008255F9"/>
    <w:rsid w:val="008260BD"/>
    <w:rsid w:val="008260D5"/>
    <w:rsid w:val="008266A7"/>
    <w:rsid w:val="00826A1D"/>
    <w:rsid w:val="00827244"/>
    <w:rsid w:val="00827C23"/>
    <w:rsid w:val="00827D1F"/>
    <w:rsid w:val="00830B6B"/>
    <w:rsid w:val="008311EF"/>
    <w:rsid w:val="00831AA6"/>
    <w:rsid w:val="00831EAE"/>
    <w:rsid w:val="00832429"/>
    <w:rsid w:val="008327C2"/>
    <w:rsid w:val="00832B4E"/>
    <w:rsid w:val="00833075"/>
    <w:rsid w:val="0083318E"/>
    <w:rsid w:val="00833253"/>
    <w:rsid w:val="00833B58"/>
    <w:rsid w:val="00833DDA"/>
    <w:rsid w:val="00834A6F"/>
    <w:rsid w:val="00834FA0"/>
    <w:rsid w:val="00835200"/>
    <w:rsid w:val="00835D05"/>
    <w:rsid w:val="00836080"/>
    <w:rsid w:val="00837AAF"/>
    <w:rsid w:val="008403D3"/>
    <w:rsid w:val="00840AA4"/>
    <w:rsid w:val="00840B53"/>
    <w:rsid w:val="00841DE3"/>
    <w:rsid w:val="008421E2"/>
    <w:rsid w:val="00842344"/>
    <w:rsid w:val="008428EF"/>
    <w:rsid w:val="00842C21"/>
    <w:rsid w:val="00842F5B"/>
    <w:rsid w:val="00844535"/>
    <w:rsid w:val="00844D92"/>
    <w:rsid w:val="00846749"/>
    <w:rsid w:val="0084717C"/>
    <w:rsid w:val="00847797"/>
    <w:rsid w:val="00847AAF"/>
    <w:rsid w:val="00850433"/>
    <w:rsid w:val="008505C7"/>
    <w:rsid w:val="008506E0"/>
    <w:rsid w:val="00850D35"/>
    <w:rsid w:val="00852690"/>
    <w:rsid w:val="00852AF4"/>
    <w:rsid w:val="00852FA3"/>
    <w:rsid w:val="008542FB"/>
    <w:rsid w:val="00854528"/>
    <w:rsid w:val="008548A4"/>
    <w:rsid w:val="008548D1"/>
    <w:rsid w:val="00854CB4"/>
    <w:rsid w:val="00855134"/>
    <w:rsid w:val="00855CC9"/>
    <w:rsid w:val="0085664B"/>
    <w:rsid w:val="00857284"/>
    <w:rsid w:val="00857361"/>
    <w:rsid w:val="00857EAA"/>
    <w:rsid w:val="00860078"/>
    <w:rsid w:val="0086058C"/>
    <w:rsid w:val="00860688"/>
    <w:rsid w:val="00860D74"/>
    <w:rsid w:val="0086100F"/>
    <w:rsid w:val="00861071"/>
    <w:rsid w:val="008611EA"/>
    <w:rsid w:val="00861725"/>
    <w:rsid w:val="00861AD9"/>
    <w:rsid w:val="00861C60"/>
    <w:rsid w:val="00861D23"/>
    <w:rsid w:val="008624BD"/>
    <w:rsid w:val="00862DB6"/>
    <w:rsid w:val="008637F5"/>
    <w:rsid w:val="00863F6A"/>
    <w:rsid w:val="00864672"/>
    <w:rsid w:val="00864900"/>
    <w:rsid w:val="00864D6A"/>
    <w:rsid w:val="0086551F"/>
    <w:rsid w:val="00865B8D"/>
    <w:rsid w:val="00866110"/>
    <w:rsid w:val="008671B0"/>
    <w:rsid w:val="00867BC2"/>
    <w:rsid w:val="008700E9"/>
    <w:rsid w:val="0087064C"/>
    <w:rsid w:val="00870666"/>
    <w:rsid w:val="00870667"/>
    <w:rsid w:val="00870F05"/>
    <w:rsid w:val="00871E09"/>
    <w:rsid w:val="00872D57"/>
    <w:rsid w:val="00872DD9"/>
    <w:rsid w:val="0087315A"/>
    <w:rsid w:val="008733BC"/>
    <w:rsid w:val="00873FAA"/>
    <w:rsid w:val="008741B3"/>
    <w:rsid w:val="00874328"/>
    <w:rsid w:val="008752BF"/>
    <w:rsid w:val="0087554B"/>
    <w:rsid w:val="0087570F"/>
    <w:rsid w:val="00875761"/>
    <w:rsid w:val="008767CA"/>
    <w:rsid w:val="00876DA9"/>
    <w:rsid w:val="00877166"/>
    <w:rsid w:val="008774A2"/>
    <w:rsid w:val="008775E3"/>
    <w:rsid w:val="0087772D"/>
    <w:rsid w:val="008778B2"/>
    <w:rsid w:val="00877A94"/>
    <w:rsid w:val="00880EFC"/>
    <w:rsid w:val="00881D35"/>
    <w:rsid w:val="00881EC3"/>
    <w:rsid w:val="0088238D"/>
    <w:rsid w:val="0088286D"/>
    <w:rsid w:val="00882F67"/>
    <w:rsid w:val="008832EC"/>
    <w:rsid w:val="00883365"/>
    <w:rsid w:val="00883AF9"/>
    <w:rsid w:val="0088419F"/>
    <w:rsid w:val="00884241"/>
    <w:rsid w:val="00884400"/>
    <w:rsid w:val="00884814"/>
    <w:rsid w:val="00884EA7"/>
    <w:rsid w:val="00885056"/>
    <w:rsid w:val="008853C1"/>
    <w:rsid w:val="00885771"/>
    <w:rsid w:val="00885A59"/>
    <w:rsid w:val="00885CD9"/>
    <w:rsid w:val="00886A84"/>
    <w:rsid w:val="008870B2"/>
    <w:rsid w:val="0088713F"/>
    <w:rsid w:val="00887457"/>
    <w:rsid w:val="0088764E"/>
    <w:rsid w:val="00887A95"/>
    <w:rsid w:val="00890185"/>
    <w:rsid w:val="00890B96"/>
    <w:rsid w:val="00890D9F"/>
    <w:rsid w:val="00891872"/>
    <w:rsid w:val="00891B8E"/>
    <w:rsid w:val="0089242B"/>
    <w:rsid w:val="0089247E"/>
    <w:rsid w:val="00892B48"/>
    <w:rsid w:val="0089342A"/>
    <w:rsid w:val="00893AE2"/>
    <w:rsid w:val="008945C8"/>
    <w:rsid w:val="008946BE"/>
    <w:rsid w:val="00894E46"/>
    <w:rsid w:val="00895815"/>
    <w:rsid w:val="00895B7A"/>
    <w:rsid w:val="00895C92"/>
    <w:rsid w:val="008960C7"/>
    <w:rsid w:val="008961A7"/>
    <w:rsid w:val="008961D8"/>
    <w:rsid w:val="00896380"/>
    <w:rsid w:val="00896657"/>
    <w:rsid w:val="0089686D"/>
    <w:rsid w:val="00896C21"/>
    <w:rsid w:val="00897291"/>
    <w:rsid w:val="00897557"/>
    <w:rsid w:val="00897807"/>
    <w:rsid w:val="0089795B"/>
    <w:rsid w:val="00897D7A"/>
    <w:rsid w:val="00897E01"/>
    <w:rsid w:val="00897E56"/>
    <w:rsid w:val="008A0661"/>
    <w:rsid w:val="008A0817"/>
    <w:rsid w:val="008A0BA2"/>
    <w:rsid w:val="008A1699"/>
    <w:rsid w:val="008A1C8E"/>
    <w:rsid w:val="008A1D3E"/>
    <w:rsid w:val="008A22ED"/>
    <w:rsid w:val="008A3AA7"/>
    <w:rsid w:val="008A3B01"/>
    <w:rsid w:val="008A3CB4"/>
    <w:rsid w:val="008A3DCF"/>
    <w:rsid w:val="008A4ADD"/>
    <w:rsid w:val="008A5143"/>
    <w:rsid w:val="008A741A"/>
    <w:rsid w:val="008A7F91"/>
    <w:rsid w:val="008B0092"/>
    <w:rsid w:val="008B02DF"/>
    <w:rsid w:val="008B0711"/>
    <w:rsid w:val="008B0DB5"/>
    <w:rsid w:val="008B13FB"/>
    <w:rsid w:val="008B144E"/>
    <w:rsid w:val="008B1E0B"/>
    <w:rsid w:val="008B1E5C"/>
    <w:rsid w:val="008B20DB"/>
    <w:rsid w:val="008B2146"/>
    <w:rsid w:val="008B26B6"/>
    <w:rsid w:val="008B2982"/>
    <w:rsid w:val="008B493E"/>
    <w:rsid w:val="008B4CC5"/>
    <w:rsid w:val="008B5500"/>
    <w:rsid w:val="008B5703"/>
    <w:rsid w:val="008B5B5E"/>
    <w:rsid w:val="008B5C9F"/>
    <w:rsid w:val="008B5DDC"/>
    <w:rsid w:val="008B5F2D"/>
    <w:rsid w:val="008B61B0"/>
    <w:rsid w:val="008B6592"/>
    <w:rsid w:val="008B69FB"/>
    <w:rsid w:val="008B6F00"/>
    <w:rsid w:val="008B74E4"/>
    <w:rsid w:val="008B7598"/>
    <w:rsid w:val="008B77D3"/>
    <w:rsid w:val="008B7E26"/>
    <w:rsid w:val="008C01E1"/>
    <w:rsid w:val="008C03D6"/>
    <w:rsid w:val="008C08B1"/>
    <w:rsid w:val="008C0C18"/>
    <w:rsid w:val="008C1BC6"/>
    <w:rsid w:val="008C2284"/>
    <w:rsid w:val="008C26CE"/>
    <w:rsid w:val="008C2CFB"/>
    <w:rsid w:val="008C38EA"/>
    <w:rsid w:val="008C4A45"/>
    <w:rsid w:val="008C4E1E"/>
    <w:rsid w:val="008C58DA"/>
    <w:rsid w:val="008C5BFA"/>
    <w:rsid w:val="008C5E12"/>
    <w:rsid w:val="008C61B7"/>
    <w:rsid w:val="008C6677"/>
    <w:rsid w:val="008C72BE"/>
    <w:rsid w:val="008C7EDF"/>
    <w:rsid w:val="008C7FDC"/>
    <w:rsid w:val="008D0A34"/>
    <w:rsid w:val="008D12D5"/>
    <w:rsid w:val="008D1A29"/>
    <w:rsid w:val="008D1C31"/>
    <w:rsid w:val="008D1CCA"/>
    <w:rsid w:val="008D2583"/>
    <w:rsid w:val="008D27CE"/>
    <w:rsid w:val="008D2AF9"/>
    <w:rsid w:val="008D3BDE"/>
    <w:rsid w:val="008D3F56"/>
    <w:rsid w:val="008D4206"/>
    <w:rsid w:val="008D420E"/>
    <w:rsid w:val="008D478B"/>
    <w:rsid w:val="008D4C5B"/>
    <w:rsid w:val="008D56D1"/>
    <w:rsid w:val="008D58A3"/>
    <w:rsid w:val="008D5EF9"/>
    <w:rsid w:val="008D60CF"/>
    <w:rsid w:val="008D66A6"/>
    <w:rsid w:val="008D7503"/>
    <w:rsid w:val="008D7F2E"/>
    <w:rsid w:val="008E0C96"/>
    <w:rsid w:val="008E1253"/>
    <w:rsid w:val="008E21A9"/>
    <w:rsid w:val="008E2AF1"/>
    <w:rsid w:val="008E2C31"/>
    <w:rsid w:val="008E3123"/>
    <w:rsid w:val="008E320C"/>
    <w:rsid w:val="008E344D"/>
    <w:rsid w:val="008E3DD2"/>
    <w:rsid w:val="008E3F24"/>
    <w:rsid w:val="008E4772"/>
    <w:rsid w:val="008E48B8"/>
    <w:rsid w:val="008E4E03"/>
    <w:rsid w:val="008E504B"/>
    <w:rsid w:val="008E5082"/>
    <w:rsid w:val="008E51DC"/>
    <w:rsid w:val="008E62DA"/>
    <w:rsid w:val="008E6C27"/>
    <w:rsid w:val="008E744E"/>
    <w:rsid w:val="008E767F"/>
    <w:rsid w:val="008E771A"/>
    <w:rsid w:val="008E799A"/>
    <w:rsid w:val="008E7D27"/>
    <w:rsid w:val="008F02C2"/>
    <w:rsid w:val="008F1536"/>
    <w:rsid w:val="008F2E0B"/>
    <w:rsid w:val="008F2EEA"/>
    <w:rsid w:val="008F3467"/>
    <w:rsid w:val="008F3A0A"/>
    <w:rsid w:val="008F3BC6"/>
    <w:rsid w:val="008F4391"/>
    <w:rsid w:val="008F4B30"/>
    <w:rsid w:val="008F501B"/>
    <w:rsid w:val="008F5DF6"/>
    <w:rsid w:val="008F6073"/>
    <w:rsid w:val="008F62C0"/>
    <w:rsid w:val="008F6763"/>
    <w:rsid w:val="008F69F6"/>
    <w:rsid w:val="008F7452"/>
    <w:rsid w:val="008F750D"/>
    <w:rsid w:val="008F7AF2"/>
    <w:rsid w:val="009003AF"/>
    <w:rsid w:val="00900CB8"/>
    <w:rsid w:val="00901230"/>
    <w:rsid w:val="0090132F"/>
    <w:rsid w:val="00903045"/>
    <w:rsid w:val="00904DDE"/>
    <w:rsid w:val="009052DA"/>
    <w:rsid w:val="0090593E"/>
    <w:rsid w:val="00905965"/>
    <w:rsid w:val="00905B3E"/>
    <w:rsid w:val="009061AC"/>
    <w:rsid w:val="009065BE"/>
    <w:rsid w:val="00906E23"/>
    <w:rsid w:val="00906E5B"/>
    <w:rsid w:val="009072BC"/>
    <w:rsid w:val="00907EDC"/>
    <w:rsid w:val="00910501"/>
    <w:rsid w:val="009106D4"/>
    <w:rsid w:val="009107A0"/>
    <w:rsid w:val="009108D6"/>
    <w:rsid w:val="00910FC8"/>
    <w:rsid w:val="009111A6"/>
    <w:rsid w:val="00911409"/>
    <w:rsid w:val="00911A45"/>
    <w:rsid w:val="00912A5D"/>
    <w:rsid w:val="00912CE4"/>
    <w:rsid w:val="0091323B"/>
    <w:rsid w:val="0091381D"/>
    <w:rsid w:val="00913AC5"/>
    <w:rsid w:val="00913BCA"/>
    <w:rsid w:val="00914186"/>
    <w:rsid w:val="00914254"/>
    <w:rsid w:val="0091435F"/>
    <w:rsid w:val="00914E14"/>
    <w:rsid w:val="009156E9"/>
    <w:rsid w:val="00916621"/>
    <w:rsid w:val="00916B48"/>
    <w:rsid w:val="00917021"/>
    <w:rsid w:val="009172C1"/>
    <w:rsid w:val="009173D5"/>
    <w:rsid w:val="009174AA"/>
    <w:rsid w:val="009177EF"/>
    <w:rsid w:val="009202EC"/>
    <w:rsid w:val="0092046F"/>
    <w:rsid w:val="009204D8"/>
    <w:rsid w:val="0092051B"/>
    <w:rsid w:val="00921C05"/>
    <w:rsid w:val="00921E5E"/>
    <w:rsid w:val="009222A8"/>
    <w:rsid w:val="0092238C"/>
    <w:rsid w:val="00922648"/>
    <w:rsid w:val="00922A12"/>
    <w:rsid w:val="00922BAD"/>
    <w:rsid w:val="00923290"/>
    <w:rsid w:val="00923746"/>
    <w:rsid w:val="00923F2E"/>
    <w:rsid w:val="009240AA"/>
    <w:rsid w:val="00924308"/>
    <w:rsid w:val="00924447"/>
    <w:rsid w:val="0092456F"/>
    <w:rsid w:val="00924B44"/>
    <w:rsid w:val="0092571B"/>
    <w:rsid w:val="0092731D"/>
    <w:rsid w:val="009274D1"/>
    <w:rsid w:val="00927A54"/>
    <w:rsid w:val="00927AB5"/>
    <w:rsid w:val="0093090B"/>
    <w:rsid w:val="00930E10"/>
    <w:rsid w:val="0093172E"/>
    <w:rsid w:val="00931E58"/>
    <w:rsid w:val="00932E6C"/>
    <w:rsid w:val="00933210"/>
    <w:rsid w:val="0093341D"/>
    <w:rsid w:val="009338E7"/>
    <w:rsid w:val="00933D98"/>
    <w:rsid w:val="00933F79"/>
    <w:rsid w:val="00933F7E"/>
    <w:rsid w:val="00934199"/>
    <w:rsid w:val="00934FA2"/>
    <w:rsid w:val="0093560A"/>
    <w:rsid w:val="0093570B"/>
    <w:rsid w:val="00935B71"/>
    <w:rsid w:val="00936982"/>
    <w:rsid w:val="009403E6"/>
    <w:rsid w:val="00940F99"/>
    <w:rsid w:val="00941864"/>
    <w:rsid w:val="009426C6"/>
    <w:rsid w:val="00942FD0"/>
    <w:rsid w:val="009439AA"/>
    <w:rsid w:val="00943CA9"/>
    <w:rsid w:val="00943E30"/>
    <w:rsid w:val="00944674"/>
    <w:rsid w:val="00944F07"/>
    <w:rsid w:val="00944F2C"/>
    <w:rsid w:val="009458C5"/>
    <w:rsid w:val="00945A03"/>
    <w:rsid w:val="00945BF5"/>
    <w:rsid w:val="00946371"/>
    <w:rsid w:val="009466DF"/>
    <w:rsid w:val="009467C9"/>
    <w:rsid w:val="00946B19"/>
    <w:rsid w:val="00950BB5"/>
    <w:rsid w:val="00950D2E"/>
    <w:rsid w:val="0095167D"/>
    <w:rsid w:val="00951923"/>
    <w:rsid w:val="00952018"/>
    <w:rsid w:val="0095229A"/>
    <w:rsid w:val="0095247A"/>
    <w:rsid w:val="00953264"/>
    <w:rsid w:val="009534D2"/>
    <w:rsid w:val="00953760"/>
    <w:rsid w:val="0095434D"/>
    <w:rsid w:val="009545AD"/>
    <w:rsid w:val="009548F3"/>
    <w:rsid w:val="00954D99"/>
    <w:rsid w:val="00954DA8"/>
    <w:rsid w:val="00955299"/>
    <w:rsid w:val="00955582"/>
    <w:rsid w:val="009560C1"/>
    <w:rsid w:val="00956CA1"/>
    <w:rsid w:val="00956F9A"/>
    <w:rsid w:val="00957221"/>
    <w:rsid w:val="00957D26"/>
    <w:rsid w:val="00957E8D"/>
    <w:rsid w:val="009605AD"/>
    <w:rsid w:val="0096060A"/>
    <w:rsid w:val="009630B2"/>
    <w:rsid w:val="009630C5"/>
    <w:rsid w:val="009631F1"/>
    <w:rsid w:val="009635A2"/>
    <w:rsid w:val="00963A35"/>
    <w:rsid w:val="00963D37"/>
    <w:rsid w:val="0096475A"/>
    <w:rsid w:val="009649F4"/>
    <w:rsid w:val="00964E47"/>
    <w:rsid w:val="00965430"/>
    <w:rsid w:val="00965EF8"/>
    <w:rsid w:val="009669AA"/>
    <w:rsid w:val="00966C36"/>
    <w:rsid w:val="00966D34"/>
    <w:rsid w:val="00966F98"/>
    <w:rsid w:val="00967347"/>
    <w:rsid w:val="009676A6"/>
    <w:rsid w:val="009676E6"/>
    <w:rsid w:val="0097059B"/>
    <w:rsid w:val="00971662"/>
    <w:rsid w:val="00971874"/>
    <w:rsid w:val="00971CC7"/>
    <w:rsid w:val="00971D2F"/>
    <w:rsid w:val="00971E3E"/>
    <w:rsid w:val="00971F6E"/>
    <w:rsid w:val="00972CC9"/>
    <w:rsid w:val="009730F3"/>
    <w:rsid w:val="00973311"/>
    <w:rsid w:val="00973DD1"/>
    <w:rsid w:val="00974036"/>
    <w:rsid w:val="0097466B"/>
    <w:rsid w:val="00975757"/>
    <w:rsid w:val="00975AA5"/>
    <w:rsid w:val="00976002"/>
    <w:rsid w:val="009760FA"/>
    <w:rsid w:val="00976430"/>
    <w:rsid w:val="00976E7E"/>
    <w:rsid w:val="009772FB"/>
    <w:rsid w:val="0097795C"/>
    <w:rsid w:val="00977A21"/>
    <w:rsid w:val="00977CBC"/>
    <w:rsid w:val="0098029C"/>
    <w:rsid w:val="00980A89"/>
    <w:rsid w:val="009818D6"/>
    <w:rsid w:val="00981D3C"/>
    <w:rsid w:val="00981D5F"/>
    <w:rsid w:val="00981F36"/>
    <w:rsid w:val="00981FB8"/>
    <w:rsid w:val="0098214C"/>
    <w:rsid w:val="00982D24"/>
    <w:rsid w:val="009841C4"/>
    <w:rsid w:val="00984972"/>
    <w:rsid w:val="00985045"/>
    <w:rsid w:val="00985765"/>
    <w:rsid w:val="00985F67"/>
    <w:rsid w:val="0098650F"/>
    <w:rsid w:val="0098667A"/>
    <w:rsid w:val="00986A18"/>
    <w:rsid w:val="00986A88"/>
    <w:rsid w:val="00986E5E"/>
    <w:rsid w:val="00987953"/>
    <w:rsid w:val="00990340"/>
    <w:rsid w:val="00990F19"/>
    <w:rsid w:val="009920AD"/>
    <w:rsid w:val="00992698"/>
    <w:rsid w:val="00992889"/>
    <w:rsid w:val="00992DF1"/>
    <w:rsid w:val="009932F0"/>
    <w:rsid w:val="00993334"/>
    <w:rsid w:val="009937B5"/>
    <w:rsid w:val="009939C0"/>
    <w:rsid w:val="00993E4A"/>
    <w:rsid w:val="00994479"/>
    <w:rsid w:val="00994568"/>
    <w:rsid w:val="0099470D"/>
    <w:rsid w:val="009953C3"/>
    <w:rsid w:val="0099568A"/>
    <w:rsid w:val="0099570E"/>
    <w:rsid w:val="00995916"/>
    <w:rsid w:val="00995AB3"/>
    <w:rsid w:val="00995D7D"/>
    <w:rsid w:val="00995EEC"/>
    <w:rsid w:val="009967C8"/>
    <w:rsid w:val="00996902"/>
    <w:rsid w:val="00997309"/>
    <w:rsid w:val="00997A74"/>
    <w:rsid w:val="009A027A"/>
    <w:rsid w:val="009A06CA"/>
    <w:rsid w:val="009A077E"/>
    <w:rsid w:val="009A14FC"/>
    <w:rsid w:val="009A186A"/>
    <w:rsid w:val="009A1A29"/>
    <w:rsid w:val="009A1EAB"/>
    <w:rsid w:val="009A1F4F"/>
    <w:rsid w:val="009A256E"/>
    <w:rsid w:val="009A299B"/>
    <w:rsid w:val="009A2AAC"/>
    <w:rsid w:val="009A2F11"/>
    <w:rsid w:val="009A439A"/>
    <w:rsid w:val="009A4785"/>
    <w:rsid w:val="009A47B3"/>
    <w:rsid w:val="009A4B61"/>
    <w:rsid w:val="009A5D16"/>
    <w:rsid w:val="009A6A31"/>
    <w:rsid w:val="009B004E"/>
    <w:rsid w:val="009B0088"/>
    <w:rsid w:val="009B0DB5"/>
    <w:rsid w:val="009B184A"/>
    <w:rsid w:val="009B1EFF"/>
    <w:rsid w:val="009B1FA8"/>
    <w:rsid w:val="009B21D1"/>
    <w:rsid w:val="009B2719"/>
    <w:rsid w:val="009B273A"/>
    <w:rsid w:val="009B308C"/>
    <w:rsid w:val="009B3CE5"/>
    <w:rsid w:val="009B465A"/>
    <w:rsid w:val="009B4781"/>
    <w:rsid w:val="009B4C43"/>
    <w:rsid w:val="009B52A8"/>
    <w:rsid w:val="009B53D5"/>
    <w:rsid w:val="009B58C0"/>
    <w:rsid w:val="009B5EAF"/>
    <w:rsid w:val="009B64BF"/>
    <w:rsid w:val="009B6E52"/>
    <w:rsid w:val="009B71B5"/>
    <w:rsid w:val="009B72F6"/>
    <w:rsid w:val="009B7A9B"/>
    <w:rsid w:val="009B7D1C"/>
    <w:rsid w:val="009C01F6"/>
    <w:rsid w:val="009C0904"/>
    <w:rsid w:val="009C135D"/>
    <w:rsid w:val="009C1B4A"/>
    <w:rsid w:val="009C1DCE"/>
    <w:rsid w:val="009C252A"/>
    <w:rsid w:val="009C282D"/>
    <w:rsid w:val="009C2A83"/>
    <w:rsid w:val="009C2CBC"/>
    <w:rsid w:val="009C2DB4"/>
    <w:rsid w:val="009C3BA3"/>
    <w:rsid w:val="009C3D5B"/>
    <w:rsid w:val="009C401A"/>
    <w:rsid w:val="009C4027"/>
    <w:rsid w:val="009C43AF"/>
    <w:rsid w:val="009C4C56"/>
    <w:rsid w:val="009C5B44"/>
    <w:rsid w:val="009C6031"/>
    <w:rsid w:val="009C63ED"/>
    <w:rsid w:val="009C671B"/>
    <w:rsid w:val="009C6C8F"/>
    <w:rsid w:val="009C788C"/>
    <w:rsid w:val="009C78F0"/>
    <w:rsid w:val="009D00A0"/>
    <w:rsid w:val="009D0C71"/>
    <w:rsid w:val="009D0D59"/>
    <w:rsid w:val="009D0DBB"/>
    <w:rsid w:val="009D0E44"/>
    <w:rsid w:val="009D1976"/>
    <w:rsid w:val="009D19C5"/>
    <w:rsid w:val="009D2183"/>
    <w:rsid w:val="009D2CDD"/>
    <w:rsid w:val="009D31B5"/>
    <w:rsid w:val="009D56AE"/>
    <w:rsid w:val="009D63B3"/>
    <w:rsid w:val="009D6408"/>
    <w:rsid w:val="009D6A6C"/>
    <w:rsid w:val="009D6EF4"/>
    <w:rsid w:val="009D712D"/>
    <w:rsid w:val="009D716F"/>
    <w:rsid w:val="009D7455"/>
    <w:rsid w:val="009E017E"/>
    <w:rsid w:val="009E09A0"/>
    <w:rsid w:val="009E148E"/>
    <w:rsid w:val="009E1694"/>
    <w:rsid w:val="009E1EBF"/>
    <w:rsid w:val="009E1F51"/>
    <w:rsid w:val="009E231F"/>
    <w:rsid w:val="009E2655"/>
    <w:rsid w:val="009E2998"/>
    <w:rsid w:val="009E2B68"/>
    <w:rsid w:val="009E33D8"/>
    <w:rsid w:val="009E3D9A"/>
    <w:rsid w:val="009E449F"/>
    <w:rsid w:val="009E48C2"/>
    <w:rsid w:val="009E4F48"/>
    <w:rsid w:val="009E5134"/>
    <w:rsid w:val="009E5701"/>
    <w:rsid w:val="009E590C"/>
    <w:rsid w:val="009E60E8"/>
    <w:rsid w:val="009F03AE"/>
    <w:rsid w:val="009F0A6B"/>
    <w:rsid w:val="009F12BE"/>
    <w:rsid w:val="009F1C8F"/>
    <w:rsid w:val="009F1FA4"/>
    <w:rsid w:val="009F2372"/>
    <w:rsid w:val="009F2702"/>
    <w:rsid w:val="009F2902"/>
    <w:rsid w:val="009F2F78"/>
    <w:rsid w:val="009F34CD"/>
    <w:rsid w:val="009F3C77"/>
    <w:rsid w:val="009F4079"/>
    <w:rsid w:val="009F42D8"/>
    <w:rsid w:val="009F4C6E"/>
    <w:rsid w:val="009F5FAF"/>
    <w:rsid w:val="009F611D"/>
    <w:rsid w:val="009F6A0D"/>
    <w:rsid w:val="009F6A74"/>
    <w:rsid w:val="009F6E5B"/>
    <w:rsid w:val="009F6E75"/>
    <w:rsid w:val="009F6ED9"/>
    <w:rsid w:val="009F6F27"/>
    <w:rsid w:val="009F7D44"/>
    <w:rsid w:val="00A00C50"/>
    <w:rsid w:val="00A0170A"/>
    <w:rsid w:val="00A01732"/>
    <w:rsid w:val="00A018BC"/>
    <w:rsid w:val="00A01943"/>
    <w:rsid w:val="00A031CE"/>
    <w:rsid w:val="00A03338"/>
    <w:rsid w:val="00A03492"/>
    <w:rsid w:val="00A036C4"/>
    <w:rsid w:val="00A03A81"/>
    <w:rsid w:val="00A048A3"/>
    <w:rsid w:val="00A0543A"/>
    <w:rsid w:val="00A0547E"/>
    <w:rsid w:val="00A05624"/>
    <w:rsid w:val="00A0574F"/>
    <w:rsid w:val="00A05A39"/>
    <w:rsid w:val="00A05BE8"/>
    <w:rsid w:val="00A074EC"/>
    <w:rsid w:val="00A0765B"/>
    <w:rsid w:val="00A10060"/>
    <w:rsid w:val="00A10371"/>
    <w:rsid w:val="00A10F5C"/>
    <w:rsid w:val="00A10FB5"/>
    <w:rsid w:val="00A112E7"/>
    <w:rsid w:val="00A11A59"/>
    <w:rsid w:val="00A127ED"/>
    <w:rsid w:val="00A13108"/>
    <w:rsid w:val="00A13E38"/>
    <w:rsid w:val="00A142FA"/>
    <w:rsid w:val="00A15756"/>
    <w:rsid w:val="00A15C82"/>
    <w:rsid w:val="00A16146"/>
    <w:rsid w:val="00A161CB"/>
    <w:rsid w:val="00A1667B"/>
    <w:rsid w:val="00A1685C"/>
    <w:rsid w:val="00A171B2"/>
    <w:rsid w:val="00A17F09"/>
    <w:rsid w:val="00A202D1"/>
    <w:rsid w:val="00A20419"/>
    <w:rsid w:val="00A207AC"/>
    <w:rsid w:val="00A20C61"/>
    <w:rsid w:val="00A22831"/>
    <w:rsid w:val="00A232B5"/>
    <w:rsid w:val="00A23367"/>
    <w:rsid w:val="00A23800"/>
    <w:rsid w:val="00A24FC8"/>
    <w:rsid w:val="00A25E6F"/>
    <w:rsid w:val="00A267A9"/>
    <w:rsid w:val="00A27BE5"/>
    <w:rsid w:val="00A27C79"/>
    <w:rsid w:val="00A27F2D"/>
    <w:rsid w:val="00A31875"/>
    <w:rsid w:val="00A31929"/>
    <w:rsid w:val="00A321B3"/>
    <w:rsid w:val="00A32959"/>
    <w:rsid w:val="00A33463"/>
    <w:rsid w:val="00A33664"/>
    <w:rsid w:val="00A337D6"/>
    <w:rsid w:val="00A349B9"/>
    <w:rsid w:val="00A35FD6"/>
    <w:rsid w:val="00A360C4"/>
    <w:rsid w:val="00A3675D"/>
    <w:rsid w:val="00A36B0B"/>
    <w:rsid w:val="00A404A4"/>
    <w:rsid w:val="00A40633"/>
    <w:rsid w:val="00A40ADC"/>
    <w:rsid w:val="00A40C76"/>
    <w:rsid w:val="00A417A3"/>
    <w:rsid w:val="00A41F10"/>
    <w:rsid w:val="00A421AD"/>
    <w:rsid w:val="00A429AE"/>
    <w:rsid w:val="00A43446"/>
    <w:rsid w:val="00A43C74"/>
    <w:rsid w:val="00A4413F"/>
    <w:rsid w:val="00A4442F"/>
    <w:rsid w:val="00A44545"/>
    <w:rsid w:val="00A454BB"/>
    <w:rsid w:val="00A458C3"/>
    <w:rsid w:val="00A46F36"/>
    <w:rsid w:val="00A47071"/>
    <w:rsid w:val="00A47C4B"/>
    <w:rsid w:val="00A47C72"/>
    <w:rsid w:val="00A47F9E"/>
    <w:rsid w:val="00A50459"/>
    <w:rsid w:val="00A50520"/>
    <w:rsid w:val="00A507FA"/>
    <w:rsid w:val="00A50A51"/>
    <w:rsid w:val="00A51180"/>
    <w:rsid w:val="00A516BD"/>
    <w:rsid w:val="00A516C0"/>
    <w:rsid w:val="00A51C8A"/>
    <w:rsid w:val="00A51DF6"/>
    <w:rsid w:val="00A51E7C"/>
    <w:rsid w:val="00A52A85"/>
    <w:rsid w:val="00A53120"/>
    <w:rsid w:val="00A53487"/>
    <w:rsid w:val="00A5389A"/>
    <w:rsid w:val="00A53917"/>
    <w:rsid w:val="00A53C22"/>
    <w:rsid w:val="00A53E36"/>
    <w:rsid w:val="00A54204"/>
    <w:rsid w:val="00A5467A"/>
    <w:rsid w:val="00A54D9D"/>
    <w:rsid w:val="00A55555"/>
    <w:rsid w:val="00A557BE"/>
    <w:rsid w:val="00A57F34"/>
    <w:rsid w:val="00A6001B"/>
    <w:rsid w:val="00A602AA"/>
    <w:rsid w:val="00A6117F"/>
    <w:rsid w:val="00A614D3"/>
    <w:rsid w:val="00A61954"/>
    <w:rsid w:val="00A61C91"/>
    <w:rsid w:val="00A61CA0"/>
    <w:rsid w:val="00A625DF"/>
    <w:rsid w:val="00A62996"/>
    <w:rsid w:val="00A63030"/>
    <w:rsid w:val="00A638B5"/>
    <w:rsid w:val="00A63A8F"/>
    <w:rsid w:val="00A6425F"/>
    <w:rsid w:val="00A64506"/>
    <w:rsid w:val="00A65D5C"/>
    <w:rsid w:val="00A65F97"/>
    <w:rsid w:val="00A665EB"/>
    <w:rsid w:val="00A6682C"/>
    <w:rsid w:val="00A67130"/>
    <w:rsid w:val="00A673B7"/>
    <w:rsid w:val="00A70C86"/>
    <w:rsid w:val="00A71482"/>
    <w:rsid w:val="00A71757"/>
    <w:rsid w:val="00A718FF"/>
    <w:rsid w:val="00A71D56"/>
    <w:rsid w:val="00A72505"/>
    <w:rsid w:val="00A72741"/>
    <w:rsid w:val="00A72FCB"/>
    <w:rsid w:val="00A731C8"/>
    <w:rsid w:val="00A73404"/>
    <w:rsid w:val="00A736EC"/>
    <w:rsid w:val="00A740F7"/>
    <w:rsid w:val="00A74110"/>
    <w:rsid w:val="00A74BD5"/>
    <w:rsid w:val="00A75387"/>
    <w:rsid w:val="00A754D5"/>
    <w:rsid w:val="00A75C5D"/>
    <w:rsid w:val="00A76AC4"/>
    <w:rsid w:val="00A76E0B"/>
    <w:rsid w:val="00A775D3"/>
    <w:rsid w:val="00A806D6"/>
    <w:rsid w:val="00A812D7"/>
    <w:rsid w:val="00A815C8"/>
    <w:rsid w:val="00A81659"/>
    <w:rsid w:val="00A82081"/>
    <w:rsid w:val="00A82101"/>
    <w:rsid w:val="00A82742"/>
    <w:rsid w:val="00A828D0"/>
    <w:rsid w:val="00A82D8F"/>
    <w:rsid w:val="00A82EB5"/>
    <w:rsid w:val="00A832C7"/>
    <w:rsid w:val="00A83AD2"/>
    <w:rsid w:val="00A83C7F"/>
    <w:rsid w:val="00A846AF"/>
    <w:rsid w:val="00A84FB2"/>
    <w:rsid w:val="00A85768"/>
    <w:rsid w:val="00A85A16"/>
    <w:rsid w:val="00A85AD3"/>
    <w:rsid w:val="00A86024"/>
    <w:rsid w:val="00A860AB"/>
    <w:rsid w:val="00A8653B"/>
    <w:rsid w:val="00A86629"/>
    <w:rsid w:val="00A86712"/>
    <w:rsid w:val="00A86743"/>
    <w:rsid w:val="00A87567"/>
    <w:rsid w:val="00A87885"/>
    <w:rsid w:val="00A9024D"/>
    <w:rsid w:val="00A90E67"/>
    <w:rsid w:val="00A9222D"/>
    <w:rsid w:val="00A922C3"/>
    <w:rsid w:val="00A92547"/>
    <w:rsid w:val="00A92985"/>
    <w:rsid w:val="00A92FFD"/>
    <w:rsid w:val="00A93E94"/>
    <w:rsid w:val="00A93F6F"/>
    <w:rsid w:val="00A94075"/>
    <w:rsid w:val="00A9411E"/>
    <w:rsid w:val="00A94155"/>
    <w:rsid w:val="00A94773"/>
    <w:rsid w:val="00A94881"/>
    <w:rsid w:val="00A94BDA"/>
    <w:rsid w:val="00A94D08"/>
    <w:rsid w:val="00A95189"/>
    <w:rsid w:val="00A9599D"/>
    <w:rsid w:val="00A96564"/>
    <w:rsid w:val="00A97144"/>
    <w:rsid w:val="00A97794"/>
    <w:rsid w:val="00A97823"/>
    <w:rsid w:val="00A97C89"/>
    <w:rsid w:val="00AA04DE"/>
    <w:rsid w:val="00AA0719"/>
    <w:rsid w:val="00AA0733"/>
    <w:rsid w:val="00AA0813"/>
    <w:rsid w:val="00AA1759"/>
    <w:rsid w:val="00AA3253"/>
    <w:rsid w:val="00AA3C35"/>
    <w:rsid w:val="00AA3DF0"/>
    <w:rsid w:val="00AA4B05"/>
    <w:rsid w:val="00AA4EE2"/>
    <w:rsid w:val="00AA5D9B"/>
    <w:rsid w:val="00AA5E7C"/>
    <w:rsid w:val="00AA60B7"/>
    <w:rsid w:val="00AA664D"/>
    <w:rsid w:val="00AA6744"/>
    <w:rsid w:val="00AA693F"/>
    <w:rsid w:val="00AA6F87"/>
    <w:rsid w:val="00AA70E1"/>
    <w:rsid w:val="00AA7601"/>
    <w:rsid w:val="00AA7703"/>
    <w:rsid w:val="00AB024F"/>
    <w:rsid w:val="00AB0C8A"/>
    <w:rsid w:val="00AB0F1A"/>
    <w:rsid w:val="00AB281A"/>
    <w:rsid w:val="00AB2870"/>
    <w:rsid w:val="00AB30B3"/>
    <w:rsid w:val="00AB3479"/>
    <w:rsid w:val="00AB396B"/>
    <w:rsid w:val="00AB41C8"/>
    <w:rsid w:val="00AB42DA"/>
    <w:rsid w:val="00AB5382"/>
    <w:rsid w:val="00AB56A2"/>
    <w:rsid w:val="00AB5A21"/>
    <w:rsid w:val="00AB5A61"/>
    <w:rsid w:val="00AB5F20"/>
    <w:rsid w:val="00AB7316"/>
    <w:rsid w:val="00AB764D"/>
    <w:rsid w:val="00AB785B"/>
    <w:rsid w:val="00AB7CBA"/>
    <w:rsid w:val="00AB7D70"/>
    <w:rsid w:val="00AC0E39"/>
    <w:rsid w:val="00AC140B"/>
    <w:rsid w:val="00AC1678"/>
    <w:rsid w:val="00AC184E"/>
    <w:rsid w:val="00AC1A66"/>
    <w:rsid w:val="00AC1E7B"/>
    <w:rsid w:val="00AC1F95"/>
    <w:rsid w:val="00AC2733"/>
    <w:rsid w:val="00AC2942"/>
    <w:rsid w:val="00AC2F7E"/>
    <w:rsid w:val="00AC35B7"/>
    <w:rsid w:val="00AC42EC"/>
    <w:rsid w:val="00AC4369"/>
    <w:rsid w:val="00AC4F93"/>
    <w:rsid w:val="00AC536D"/>
    <w:rsid w:val="00AC5755"/>
    <w:rsid w:val="00AC5971"/>
    <w:rsid w:val="00AC5B75"/>
    <w:rsid w:val="00AC5F3E"/>
    <w:rsid w:val="00AC611C"/>
    <w:rsid w:val="00AC62B3"/>
    <w:rsid w:val="00AC6457"/>
    <w:rsid w:val="00AC6C29"/>
    <w:rsid w:val="00AC6DB7"/>
    <w:rsid w:val="00AC72C2"/>
    <w:rsid w:val="00AC72CC"/>
    <w:rsid w:val="00AC7665"/>
    <w:rsid w:val="00AC7FDB"/>
    <w:rsid w:val="00AD0620"/>
    <w:rsid w:val="00AD093A"/>
    <w:rsid w:val="00AD0BF2"/>
    <w:rsid w:val="00AD2E38"/>
    <w:rsid w:val="00AD2F35"/>
    <w:rsid w:val="00AD4EC8"/>
    <w:rsid w:val="00AD55CF"/>
    <w:rsid w:val="00AD5BD0"/>
    <w:rsid w:val="00AD5D82"/>
    <w:rsid w:val="00AD70B9"/>
    <w:rsid w:val="00AD76AF"/>
    <w:rsid w:val="00AD7CDE"/>
    <w:rsid w:val="00AE03B1"/>
    <w:rsid w:val="00AE1266"/>
    <w:rsid w:val="00AE1814"/>
    <w:rsid w:val="00AE1C24"/>
    <w:rsid w:val="00AE2077"/>
    <w:rsid w:val="00AE294F"/>
    <w:rsid w:val="00AE339E"/>
    <w:rsid w:val="00AE3DBF"/>
    <w:rsid w:val="00AE3EE3"/>
    <w:rsid w:val="00AE4289"/>
    <w:rsid w:val="00AE42BE"/>
    <w:rsid w:val="00AE49D0"/>
    <w:rsid w:val="00AE4A67"/>
    <w:rsid w:val="00AE4A73"/>
    <w:rsid w:val="00AE4DA2"/>
    <w:rsid w:val="00AE51D1"/>
    <w:rsid w:val="00AE55B5"/>
    <w:rsid w:val="00AE58E5"/>
    <w:rsid w:val="00AE5CA8"/>
    <w:rsid w:val="00AE5EFE"/>
    <w:rsid w:val="00AE7AB2"/>
    <w:rsid w:val="00AF05D1"/>
    <w:rsid w:val="00AF06CD"/>
    <w:rsid w:val="00AF09B7"/>
    <w:rsid w:val="00AF0C86"/>
    <w:rsid w:val="00AF138C"/>
    <w:rsid w:val="00AF14BF"/>
    <w:rsid w:val="00AF1C89"/>
    <w:rsid w:val="00AF2143"/>
    <w:rsid w:val="00AF261F"/>
    <w:rsid w:val="00AF2EEB"/>
    <w:rsid w:val="00AF34EE"/>
    <w:rsid w:val="00AF3E9F"/>
    <w:rsid w:val="00AF45BF"/>
    <w:rsid w:val="00AF4C6B"/>
    <w:rsid w:val="00AF55C0"/>
    <w:rsid w:val="00AF68AA"/>
    <w:rsid w:val="00AF6D2B"/>
    <w:rsid w:val="00AF7300"/>
    <w:rsid w:val="00AF7922"/>
    <w:rsid w:val="00B009B4"/>
    <w:rsid w:val="00B01CF5"/>
    <w:rsid w:val="00B02C7D"/>
    <w:rsid w:val="00B03916"/>
    <w:rsid w:val="00B03DD8"/>
    <w:rsid w:val="00B03FE7"/>
    <w:rsid w:val="00B040FE"/>
    <w:rsid w:val="00B043DA"/>
    <w:rsid w:val="00B04592"/>
    <w:rsid w:val="00B05369"/>
    <w:rsid w:val="00B05605"/>
    <w:rsid w:val="00B0590B"/>
    <w:rsid w:val="00B05A36"/>
    <w:rsid w:val="00B05DA1"/>
    <w:rsid w:val="00B06010"/>
    <w:rsid w:val="00B06015"/>
    <w:rsid w:val="00B060DE"/>
    <w:rsid w:val="00B06218"/>
    <w:rsid w:val="00B06297"/>
    <w:rsid w:val="00B06680"/>
    <w:rsid w:val="00B0714A"/>
    <w:rsid w:val="00B073C8"/>
    <w:rsid w:val="00B07788"/>
    <w:rsid w:val="00B10B6F"/>
    <w:rsid w:val="00B11148"/>
    <w:rsid w:val="00B12CA2"/>
    <w:rsid w:val="00B1334D"/>
    <w:rsid w:val="00B13F55"/>
    <w:rsid w:val="00B13FB4"/>
    <w:rsid w:val="00B14982"/>
    <w:rsid w:val="00B14C55"/>
    <w:rsid w:val="00B14D8F"/>
    <w:rsid w:val="00B152B3"/>
    <w:rsid w:val="00B15E22"/>
    <w:rsid w:val="00B163CA"/>
    <w:rsid w:val="00B1647E"/>
    <w:rsid w:val="00B175E0"/>
    <w:rsid w:val="00B17C42"/>
    <w:rsid w:val="00B20FA7"/>
    <w:rsid w:val="00B22402"/>
    <w:rsid w:val="00B22524"/>
    <w:rsid w:val="00B22F0A"/>
    <w:rsid w:val="00B2344E"/>
    <w:rsid w:val="00B235E9"/>
    <w:rsid w:val="00B238FE"/>
    <w:rsid w:val="00B23A5E"/>
    <w:rsid w:val="00B23E18"/>
    <w:rsid w:val="00B241D2"/>
    <w:rsid w:val="00B245D5"/>
    <w:rsid w:val="00B25375"/>
    <w:rsid w:val="00B2584F"/>
    <w:rsid w:val="00B25B39"/>
    <w:rsid w:val="00B25F41"/>
    <w:rsid w:val="00B26BC6"/>
    <w:rsid w:val="00B26E1D"/>
    <w:rsid w:val="00B26FC4"/>
    <w:rsid w:val="00B2771F"/>
    <w:rsid w:val="00B27726"/>
    <w:rsid w:val="00B277B1"/>
    <w:rsid w:val="00B27B00"/>
    <w:rsid w:val="00B27E89"/>
    <w:rsid w:val="00B30243"/>
    <w:rsid w:val="00B30437"/>
    <w:rsid w:val="00B31B77"/>
    <w:rsid w:val="00B31C89"/>
    <w:rsid w:val="00B31F33"/>
    <w:rsid w:val="00B3219C"/>
    <w:rsid w:val="00B32286"/>
    <w:rsid w:val="00B32892"/>
    <w:rsid w:val="00B336C7"/>
    <w:rsid w:val="00B33820"/>
    <w:rsid w:val="00B338C5"/>
    <w:rsid w:val="00B33E82"/>
    <w:rsid w:val="00B33FD0"/>
    <w:rsid w:val="00B343B1"/>
    <w:rsid w:val="00B34801"/>
    <w:rsid w:val="00B34B58"/>
    <w:rsid w:val="00B34E5D"/>
    <w:rsid w:val="00B350BA"/>
    <w:rsid w:val="00B359A7"/>
    <w:rsid w:val="00B36206"/>
    <w:rsid w:val="00B368A6"/>
    <w:rsid w:val="00B36CA6"/>
    <w:rsid w:val="00B37026"/>
    <w:rsid w:val="00B40A4B"/>
    <w:rsid w:val="00B40EB8"/>
    <w:rsid w:val="00B41434"/>
    <w:rsid w:val="00B41735"/>
    <w:rsid w:val="00B41C35"/>
    <w:rsid w:val="00B42740"/>
    <w:rsid w:val="00B42836"/>
    <w:rsid w:val="00B42D58"/>
    <w:rsid w:val="00B42FEC"/>
    <w:rsid w:val="00B4313E"/>
    <w:rsid w:val="00B43933"/>
    <w:rsid w:val="00B44065"/>
    <w:rsid w:val="00B440E4"/>
    <w:rsid w:val="00B44103"/>
    <w:rsid w:val="00B45CB7"/>
    <w:rsid w:val="00B46012"/>
    <w:rsid w:val="00B4601E"/>
    <w:rsid w:val="00B46460"/>
    <w:rsid w:val="00B46509"/>
    <w:rsid w:val="00B46D9F"/>
    <w:rsid w:val="00B46F64"/>
    <w:rsid w:val="00B47369"/>
    <w:rsid w:val="00B475F3"/>
    <w:rsid w:val="00B4771C"/>
    <w:rsid w:val="00B47A93"/>
    <w:rsid w:val="00B505E2"/>
    <w:rsid w:val="00B5066B"/>
    <w:rsid w:val="00B507C9"/>
    <w:rsid w:val="00B50B6F"/>
    <w:rsid w:val="00B51484"/>
    <w:rsid w:val="00B5198B"/>
    <w:rsid w:val="00B52B8B"/>
    <w:rsid w:val="00B53981"/>
    <w:rsid w:val="00B54302"/>
    <w:rsid w:val="00B547E7"/>
    <w:rsid w:val="00B54EC1"/>
    <w:rsid w:val="00B54F30"/>
    <w:rsid w:val="00B55086"/>
    <w:rsid w:val="00B55551"/>
    <w:rsid w:val="00B566D1"/>
    <w:rsid w:val="00B56DBC"/>
    <w:rsid w:val="00B572F7"/>
    <w:rsid w:val="00B576A2"/>
    <w:rsid w:val="00B57D54"/>
    <w:rsid w:val="00B602A7"/>
    <w:rsid w:val="00B605AE"/>
    <w:rsid w:val="00B60D09"/>
    <w:rsid w:val="00B61CC3"/>
    <w:rsid w:val="00B6227E"/>
    <w:rsid w:val="00B62A8A"/>
    <w:rsid w:val="00B63EA2"/>
    <w:rsid w:val="00B64935"/>
    <w:rsid w:val="00B64C7A"/>
    <w:rsid w:val="00B6518A"/>
    <w:rsid w:val="00B651DB"/>
    <w:rsid w:val="00B6581F"/>
    <w:rsid w:val="00B6626B"/>
    <w:rsid w:val="00B6639D"/>
    <w:rsid w:val="00B66ED3"/>
    <w:rsid w:val="00B671A6"/>
    <w:rsid w:val="00B67933"/>
    <w:rsid w:val="00B67A2B"/>
    <w:rsid w:val="00B67AB5"/>
    <w:rsid w:val="00B7002C"/>
    <w:rsid w:val="00B702AE"/>
    <w:rsid w:val="00B70648"/>
    <w:rsid w:val="00B708CF"/>
    <w:rsid w:val="00B70A70"/>
    <w:rsid w:val="00B71015"/>
    <w:rsid w:val="00B719D0"/>
    <w:rsid w:val="00B722E6"/>
    <w:rsid w:val="00B73675"/>
    <w:rsid w:val="00B73BDF"/>
    <w:rsid w:val="00B7434A"/>
    <w:rsid w:val="00B7449C"/>
    <w:rsid w:val="00B745E9"/>
    <w:rsid w:val="00B74AFD"/>
    <w:rsid w:val="00B74D30"/>
    <w:rsid w:val="00B752C4"/>
    <w:rsid w:val="00B75441"/>
    <w:rsid w:val="00B75F66"/>
    <w:rsid w:val="00B76038"/>
    <w:rsid w:val="00B76D8D"/>
    <w:rsid w:val="00B774CD"/>
    <w:rsid w:val="00B80AE0"/>
    <w:rsid w:val="00B80F4E"/>
    <w:rsid w:val="00B81955"/>
    <w:rsid w:val="00B81F02"/>
    <w:rsid w:val="00B8249D"/>
    <w:rsid w:val="00B83099"/>
    <w:rsid w:val="00B83A3E"/>
    <w:rsid w:val="00B83B0F"/>
    <w:rsid w:val="00B83BCF"/>
    <w:rsid w:val="00B83FD3"/>
    <w:rsid w:val="00B840E8"/>
    <w:rsid w:val="00B8568C"/>
    <w:rsid w:val="00B857D8"/>
    <w:rsid w:val="00B85A6E"/>
    <w:rsid w:val="00B86024"/>
    <w:rsid w:val="00B86DEB"/>
    <w:rsid w:val="00B872BE"/>
    <w:rsid w:val="00B87322"/>
    <w:rsid w:val="00B87652"/>
    <w:rsid w:val="00B87DA5"/>
    <w:rsid w:val="00B90AAE"/>
    <w:rsid w:val="00B90E7E"/>
    <w:rsid w:val="00B91537"/>
    <w:rsid w:val="00B91757"/>
    <w:rsid w:val="00B91C1D"/>
    <w:rsid w:val="00B91DF3"/>
    <w:rsid w:val="00B92857"/>
    <w:rsid w:val="00B928E2"/>
    <w:rsid w:val="00B92E2B"/>
    <w:rsid w:val="00B93648"/>
    <w:rsid w:val="00B93902"/>
    <w:rsid w:val="00B952C3"/>
    <w:rsid w:val="00B953FB"/>
    <w:rsid w:val="00B9559A"/>
    <w:rsid w:val="00B95B5C"/>
    <w:rsid w:val="00B95E11"/>
    <w:rsid w:val="00B964E4"/>
    <w:rsid w:val="00B9654E"/>
    <w:rsid w:val="00B968FE"/>
    <w:rsid w:val="00B96CD0"/>
    <w:rsid w:val="00B96FAD"/>
    <w:rsid w:val="00B9780A"/>
    <w:rsid w:val="00BA016A"/>
    <w:rsid w:val="00BA0273"/>
    <w:rsid w:val="00BA0BA7"/>
    <w:rsid w:val="00BA0E30"/>
    <w:rsid w:val="00BA12D8"/>
    <w:rsid w:val="00BA1D1D"/>
    <w:rsid w:val="00BA1FDA"/>
    <w:rsid w:val="00BA2507"/>
    <w:rsid w:val="00BA281E"/>
    <w:rsid w:val="00BA2B84"/>
    <w:rsid w:val="00BA3452"/>
    <w:rsid w:val="00BA36D2"/>
    <w:rsid w:val="00BA37FC"/>
    <w:rsid w:val="00BA3D45"/>
    <w:rsid w:val="00BA4648"/>
    <w:rsid w:val="00BA4A40"/>
    <w:rsid w:val="00BA55C4"/>
    <w:rsid w:val="00BA5CD7"/>
    <w:rsid w:val="00BA6735"/>
    <w:rsid w:val="00BA6A9C"/>
    <w:rsid w:val="00BA7723"/>
    <w:rsid w:val="00BA77AA"/>
    <w:rsid w:val="00BA7E5B"/>
    <w:rsid w:val="00BB001C"/>
    <w:rsid w:val="00BB03E1"/>
    <w:rsid w:val="00BB0B00"/>
    <w:rsid w:val="00BB0BC2"/>
    <w:rsid w:val="00BB113B"/>
    <w:rsid w:val="00BB15FF"/>
    <w:rsid w:val="00BB3EFE"/>
    <w:rsid w:val="00BB506A"/>
    <w:rsid w:val="00BB5289"/>
    <w:rsid w:val="00BB5F11"/>
    <w:rsid w:val="00BB6035"/>
    <w:rsid w:val="00BB62DC"/>
    <w:rsid w:val="00BB6E9C"/>
    <w:rsid w:val="00BB75EF"/>
    <w:rsid w:val="00BB7997"/>
    <w:rsid w:val="00BC0C11"/>
    <w:rsid w:val="00BC100D"/>
    <w:rsid w:val="00BC1093"/>
    <w:rsid w:val="00BC1308"/>
    <w:rsid w:val="00BC16FD"/>
    <w:rsid w:val="00BC232D"/>
    <w:rsid w:val="00BC2F2A"/>
    <w:rsid w:val="00BC3530"/>
    <w:rsid w:val="00BC38AB"/>
    <w:rsid w:val="00BC39D3"/>
    <w:rsid w:val="00BC3C47"/>
    <w:rsid w:val="00BC6CF4"/>
    <w:rsid w:val="00BC6F7F"/>
    <w:rsid w:val="00BC79D4"/>
    <w:rsid w:val="00BC7D54"/>
    <w:rsid w:val="00BD0366"/>
    <w:rsid w:val="00BD2B05"/>
    <w:rsid w:val="00BD3D59"/>
    <w:rsid w:val="00BD40D3"/>
    <w:rsid w:val="00BD45E3"/>
    <w:rsid w:val="00BD4DD4"/>
    <w:rsid w:val="00BD58E0"/>
    <w:rsid w:val="00BD6363"/>
    <w:rsid w:val="00BD64FD"/>
    <w:rsid w:val="00BD6711"/>
    <w:rsid w:val="00BD6805"/>
    <w:rsid w:val="00BD6833"/>
    <w:rsid w:val="00BD6F71"/>
    <w:rsid w:val="00BD7237"/>
    <w:rsid w:val="00BD7A0F"/>
    <w:rsid w:val="00BE04FD"/>
    <w:rsid w:val="00BE08DF"/>
    <w:rsid w:val="00BE1FB5"/>
    <w:rsid w:val="00BE201E"/>
    <w:rsid w:val="00BE3037"/>
    <w:rsid w:val="00BE343A"/>
    <w:rsid w:val="00BE372B"/>
    <w:rsid w:val="00BE3FEB"/>
    <w:rsid w:val="00BE40A8"/>
    <w:rsid w:val="00BE4364"/>
    <w:rsid w:val="00BE476D"/>
    <w:rsid w:val="00BE53B9"/>
    <w:rsid w:val="00BE6B2A"/>
    <w:rsid w:val="00BE79F4"/>
    <w:rsid w:val="00BE79FC"/>
    <w:rsid w:val="00BE7BAF"/>
    <w:rsid w:val="00BE7D05"/>
    <w:rsid w:val="00BF0A38"/>
    <w:rsid w:val="00BF0C40"/>
    <w:rsid w:val="00BF1194"/>
    <w:rsid w:val="00BF147F"/>
    <w:rsid w:val="00BF15C3"/>
    <w:rsid w:val="00BF1E0D"/>
    <w:rsid w:val="00BF2018"/>
    <w:rsid w:val="00BF2FA0"/>
    <w:rsid w:val="00BF37B7"/>
    <w:rsid w:val="00BF3969"/>
    <w:rsid w:val="00BF4365"/>
    <w:rsid w:val="00BF4BD4"/>
    <w:rsid w:val="00BF5186"/>
    <w:rsid w:val="00BF5608"/>
    <w:rsid w:val="00BF5C31"/>
    <w:rsid w:val="00BF5ECD"/>
    <w:rsid w:val="00BF69AC"/>
    <w:rsid w:val="00BF6B30"/>
    <w:rsid w:val="00BF702B"/>
    <w:rsid w:val="00BF70DC"/>
    <w:rsid w:val="00BF7176"/>
    <w:rsid w:val="00C00A97"/>
    <w:rsid w:val="00C01180"/>
    <w:rsid w:val="00C01DF1"/>
    <w:rsid w:val="00C01E09"/>
    <w:rsid w:val="00C021B5"/>
    <w:rsid w:val="00C033F6"/>
    <w:rsid w:val="00C03735"/>
    <w:rsid w:val="00C04276"/>
    <w:rsid w:val="00C04B89"/>
    <w:rsid w:val="00C06B6F"/>
    <w:rsid w:val="00C06B83"/>
    <w:rsid w:val="00C06F29"/>
    <w:rsid w:val="00C072D1"/>
    <w:rsid w:val="00C07E9B"/>
    <w:rsid w:val="00C1002E"/>
    <w:rsid w:val="00C10256"/>
    <w:rsid w:val="00C10962"/>
    <w:rsid w:val="00C10F46"/>
    <w:rsid w:val="00C10FBB"/>
    <w:rsid w:val="00C11256"/>
    <w:rsid w:val="00C11620"/>
    <w:rsid w:val="00C11FBD"/>
    <w:rsid w:val="00C126CC"/>
    <w:rsid w:val="00C12D18"/>
    <w:rsid w:val="00C12D63"/>
    <w:rsid w:val="00C1323F"/>
    <w:rsid w:val="00C13B7B"/>
    <w:rsid w:val="00C13D8D"/>
    <w:rsid w:val="00C1442C"/>
    <w:rsid w:val="00C14719"/>
    <w:rsid w:val="00C15802"/>
    <w:rsid w:val="00C15807"/>
    <w:rsid w:val="00C15E1A"/>
    <w:rsid w:val="00C15E42"/>
    <w:rsid w:val="00C16098"/>
    <w:rsid w:val="00C16139"/>
    <w:rsid w:val="00C161C0"/>
    <w:rsid w:val="00C16CED"/>
    <w:rsid w:val="00C17BAA"/>
    <w:rsid w:val="00C205C8"/>
    <w:rsid w:val="00C209B5"/>
    <w:rsid w:val="00C20BCB"/>
    <w:rsid w:val="00C20C75"/>
    <w:rsid w:val="00C21164"/>
    <w:rsid w:val="00C21317"/>
    <w:rsid w:val="00C215F9"/>
    <w:rsid w:val="00C22628"/>
    <w:rsid w:val="00C22D15"/>
    <w:rsid w:val="00C22DB2"/>
    <w:rsid w:val="00C22E4D"/>
    <w:rsid w:val="00C22EBA"/>
    <w:rsid w:val="00C2304C"/>
    <w:rsid w:val="00C24380"/>
    <w:rsid w:val="00C257BC"/>
    <w:rsid w:val="00C3038D"/>
    <w:rsid w:val="00C30456"/>
    <w:rsid w:val="00C308F0"/>
    <w:rsid w:val="00C30DDB"/>
    <w:rsid w:val="00C30FF2"/>
    <w:rsid w:val="00C314C3"/>
    <w:rsid w:val="00C322B1"/>
    <w:rsid w:val="00C322DE"/>
    <w:rsid w:val="00C3262C"/>
    <w:rsid w:val="00C329EB"/>
    <w:rsid w:val="00C32E68"/>
    <w:rsid w:val="00C33B2F"/>
    <w:rsid w:val="00C3415C"/>
    <w:rsid w:val="00C34948"/>
    <w:rsid w:val="00C34B66"/>
    <w:rsid w:val="00C35BDE"/>
    <w:rsid w:val="00C36D10"/>
    <w:rsid w:val="00C37437"/>
    <w:rsid w:val="00C4062B"/>
    <w:rsid w:val="00C411F0"/>
    <w:rsid w:val="00C41378"/>
    <w:rsid w:val="00C41A8A"/>
    <w:rsid w:val="00C41B52"/>
    <w:rsid w:val="00C41BD3"/>
    <w:rsid w:val="00C42154"/>
    <w:rsid w:val="00C42B22"/>
    <w:rsid w:val="00C42E0B"/>
    <w:rsid w:val="00C432DA"/>
    <w:rsid w:val="00C43D67"/>
    <w:rsid w:val="00C44212"/>
    <w:rsid w:val="00C44301"/>
    <w:rsid w:val="00C44611"/>
    <w:rsid w:val="00C44CE3"/>
    <w:rsid w:val="00C44E26"/>
    <w:rsid w:val="00C45840"/>
    <w:rsid w:val="00C458CA"/>
    <w:rsid w:val="00C460F8"/>
    <w:rsid w:val="00C46171"/>
    <w:rsid w:val="00C4659B"/>
    <w:rsid w:val="00C46D06"/>
    <w:rsid w:val="00C46DB5"/>
    <w:rsid w:val="00C46F8E"/>
    <w:rsid w:val="00C47BC8"/>
    <w:rsid w:val="00C502D9"/>
    <w:rsid w:val="00C5033E"/>
    <w:rsid w:val="00C50AA4"/>
    <w:rsid w:val="00C50B9B"/>
    <w:rsid w:val="00C51859"/>
    <w:rsid w:val="00C51EB0"/>
    <w:rsid w:val="00C52509"/>
    <w:rsid w:val="00C52A58"/>
    <w:rsid w:val="00C52C45"/>
    <w:rsid w:val="00C53080"/>
    <w:rsid w:val="00C5349C"/>
    <w:rsid w:val="00C53D5B"/>
    <w:rsid w:val="00C54684"/>
    <w:rsid w:val="00C554B1"/>
    <w:rsid w:val="00C554C4"/>
    <w:rsid w:val="00C557D8"/>
    <w:rsid w:val="00C5622E"/>
    <w:rsid w:val="00C57171"/>
    <w:rsid w:val="00C60CAE"/>
    <w:rsid w:val="00C61D86"/>
    <w:rsid w:val="00C62B5A"/>
    <w:rsid w:val="00C643F6"/>
    <w:rsid w:val="00C64588"/>
    <w:rsid w:val="00C64B6F"/>
    <w:rsid w:val="00C65536"/>
    <w:rsid w:val="00C666A4"/>
    <w:rsid w:val="00C66F9F"/>
    <w:rsid w:val="00C7096E"/>
    <w:rsid w:val="00C70E74"/>
    <w:rsid w:val="00C71123"/>
    <w:rsid w:val="00C7149C"/>
    <w:rsid w:val="00C71BBF"/>
    <w:rsid w:val="00C728F5"/>
    <w:rsid w:val="00C729B4"/>
    <w:rsid w:val="00C73258"/>
    <w:rsid w:val="00C7354E"/>
    <w:rsid w:val="00C736C5"/>
    <w:rsid w:val="00C73BAC"/>
    <w:rsid w:val="00C74FA6"/>
    <w:rsid w:val="00C75004"/>
    <w:rsid w:val="00C750B1"/>
    <w:rsid w:val="00C76615"/>
    <w:rsid w:val="00C7664D"/>
    <w:rsid w:val="00C767A2"/>
    <w:rsid w:val="00C7682A"/>
    <w:rsid w:val="00C769E6"/>
    <w:rsid w:val="00C76B4C"/>
    <w:rsid w:val="00C76C5B"/>
    <w:rsid w:val="00C77605"/>
    <w:rsid w:val="00C77E22"/>
    <w:rsid w:val="00C803CD"/>
    <w:rsid w:val="00C80FDF"/>
    <w:rsid w:val="00C8226E"/>
    <w:rsid w:val="00C826A9"/>
    <w:rsid w:val="00C82789"/>
    <w:rsid w:val="00C832D7"/>
    <w:rsid w:val="00C83BBD"/>
    <w:rsid w:val="00C8428D"/>
    <w:rsid w:val="00C842D1"/>
    <w:rsid w:val="00C84465"/>
    <w:rsid w:val="00C847F0"/>
    <w:rsid w:val="00C85783"/>
    <w:rsid w:val="00C85B2C"/>
    <w:rsid w:val="00C85C2F"/>
    <w:rsid w:val="00C8632A"/>
    <w:rsid w:val="00C865DA"/>
    <w:rsid w:val="00C86D34"/>
    <w:rsid w:val="00C86F1D"/>
    <w:rsid w:val="00C8713B"/>
    <w:rsid w:val="00C90345"/>
    <w:rsid w:val="00C90EF1"/>
    <w:rsid w:val="00C90F20"/>
    <w:rsid w:val="00C9144E"/>
    <w:rsid w:val="00C926AD"/>
    <w:rsid w:val="00C92CEA"/>
    <w:rsid w:val="00C94536"/>
    <w:rsid w:val="00C94DA1"/>
    <w:rsid w:val="00C95BCA"/>
    <w:rsid w:val="00C96813"/>
    <w:rsid w:val="00C96B80"/>
    <w:rsid w:val="00C97814"/>
    <w:rsid w:val="00C97C48"/>
    <w:rsid w:val="00CA05B4"/>
    <w:rsid w:val="00CA0B9F"/>
    <w:rsid w:val="00CA1307"/>
    <w:rsid w:val="00CA1664"/>
    <w:rsid w:val="00CA1A4E"/>
    <w:rsid w:val="00CA368B"/>
    <w:rsid w:val="00CA37A1"/>
    <w:rsid w:val="00CA6102"/>
    <w:rsid w:val="00CA6FBE"/>
    <w:rsid w:val="00CA6FD1"/>
    <w:rsid w:val="00CA72C1"/>
    <w:rsid w:val="00CA79A4"/>
    <w:rsid w:val="00CA7CB2"/>
    <w:rsid w:val="00CA7D6B"/>
    <w:rsid w:val="00CA7EA5"/>
    <w:rsid w:val="00CB0A82"/>
    <w:rsid w:val="00CB0D9C"/>
    <w:rsid w:val="00CB21C0"/>
    <w:rsid w:val="00CB2D54"/>
    <w:rsid w:val="00CB2DB5"/>
    <w:rsid w:val="00CB3741"/>
    <w:rsid w:val="00CB399C"/>
    <w:rsid w:val="00CB3A17"/>
    <w:rsid w:val="00CB3B05"/>
    <w:rsid w:val="00CB519D"/>
    <w:rsid w:val="00CB5A29"/>
    <w:rsid w:val="00CB5A6A"/>
    <w:rsid w:val="00CB5F62"/>
    <w:rsid w:val="00CB7526"/>
    <w:rsid w:val="00CB7A2B"/>
    <w:rsid w:val="00CB7F98"/>
    <w:rsid w:val="00CC00D8"/>
    <w:rsid w:val="00CC13B3"/>
    <w:rsid w:val="00CC15AF"/>
    <w:rsid w:val="00CC1776"/>
    <w:rsid w:val="00CC1F49"/>
    <w:rsid w:val="00CC23B5"/>
    <w:rsid w:val="00CC4150"/>
    <w:rsid w:val="00CC45DC"/>
    <w:rsid w:val="00CC4ED8"/>
    <w:rsid w:val="00CC5091"/>
    <w:rsid w:val="00CC50D0"/>
    <w:rsid w:val="00CC539E"/>
    <w:rsid w:val="00CC5927"/>
    <w:rsid w:val="00CC5A6D"/>
    <w:rsid w:val="00CC5E97"/>
    <w:rsid w:val="00CC6EA2"/>
    <w:rsid w:val="00CC77BE"/>
    <w:rsid w:val="00CC7D4E"/>
    <w:rsid w:val="00CD0243"/>
    <w:rsid w:val="00CD09C3"/>
    <w:rsid w:val="00CD0AD7"/>
    <w:rsid w:val="00CD0AF2"/>
    <w:rsid w:val="00CD135C"/>
    <w:rsid w:val="00CD1C02"/>
    <w:rsid w:val="00CD1C0B"/>
    <w:rsid w:val="00CD2693"/>
    <w:rsid w:val="00CD2AEE"/>
    <w:rsid w:val="00CD2C2B"/>
    <w:rsid w:val="00CD2D7D"/>
    <w:rsid w:val="00CD2D8B"/>
    <w:rsid w:val="00CD3240"/>
    <w:rsid w:val="00CD3620"/>
    <w:rsid w:val="00CD4988"/>
    <w:rsid w:val="00CD4CD6"/>
    <w:rsid w:val="00CD54E1"/>
    <w:rsid w:val="00CD5572"/>
    <w:rsid w:val="00CD5A8F"/>
    <w:rsid w:val="00CD61F2"/>
    <w:rsid w:val="00CD6CA8"/>
    <w:rsid w:val="00CD6FCA"/>
    <w:rsid w:val="00CD71A9"/>
    <w:rsid w:val="00CD7BB9"/>
    <w:rsid w:val="00CD7CB1"/>
    <w:rsid w:val="00CE076E"/>
    <w:rsid w:val="00CE098A"/>
    <w:rsid w:val="00CE1375"/>
    <w:rsid w:val="00CE1CFD"/>
    <w:rsid w:val="00CE1D8D"/>
    <w:rsid w:val="00CE200B"/>
    <w:rsid w:val="00CE2B2C"/>
    <w:rsid w:val="00CE319D"/>
    <w:rsid w:val="00CE3DE6"/>
    <w:rsid w:val="00CE4395"/>
    <w:rsid w:val="00CE4E2F"/>
    <w:rsid w:val="00CE5EDB"/>
    <w:rsid w:val="00CE676E"/>
    <w:rsid w:val="00CE6985"/>
    <w:rsid w:val="00CE6DAE"/>
    <w:rsid w:val="00CE6DFB"/>
    <w:rsid w:val="00CE7402"/>
    <w:rsid w:val="00CE7A15"/>
    <w:rsid w:val="00CF01CB"/>
    <w:rsid w:val="00CF0B0E"/>
    <w:rsid w:val="00CF0B4C"/>
    <w:rsid w:val="00CF0E12"/>
    <w:rsid w:val="00CF0F1A"/>
    <w:rsid w:val="00CF1D2F"/>
    <w:rsid w:val="00CF2323"/>
    <w:rsid w:val="00CF2718"/>
    <w:rsid w:val="00CF27CF"/>
    <w:rsid w:val="00CF493F"/>
    <w:rsid w:val="00CF4CEB"/>
    <w:rsid w:val="00CF554B"/>
    <w:rsid w:val="00CF5600"/>
    <w:rsid w:val="00CF5776"/>
    <w:rsid w:val="00CF5C25"/>
    <w:rsid w:val="00CF5EC3"/>
    <w:rsid w:val="00CF5F26"/>
    <w:rsid w:val="00CF690E"/>
    <w:rsid w:val="00CF70DC"/>
    <w:rsid w:val="00CF71BA"/>
    <w:rsid w:val="00D00AC9"/>
    <w:rsid w:val="00D00BD0"/>
    <w:rsid w:val="00D00E43"/>
    <w:rsid w:val="00D01BBB"/>
    <w:rsid w:val="00D0236B"/>
    <w:rsid w:val="00D025E4"/>
    <w:rsid w:val="00D02731"/>
    <w:rsid w:val="00D02AE8"/>
    <w:rsid w:val="00D02B17"/>
    <w:rsid w:val="00D036EF"/>
    <w:rsid w:val="00D04B9C"/>
    <w:rsid w:val="00D04C3F"/>
    <w:rsid w:val="00D04D99"/>
    <w:rsid w:val="00D059DC"/>
    <w:rsid w:val="00D05BE5"/>
    <w:rsid w:val="00D05CF8"/>
    <w:rsid w:val="00D06EBE"/>
    <w:rsid w:val="00D076A4"/>
    <w:rsid w:val="00D07A4A"/>
    <w:rsid w:val="00D107F4"/>
    <w:rsid w:val="00D10A58"/>
    <w:rsid w:val="00D10C88"/>
    <w:rsid w:val="00D1114D"/>
    <w:rsid w:val="00D11374"/>
    <w:rsid w:val="00D11DFD"/>
    <w:rsid w:val="00D12070"/>
    <w:rsid w:val="00D124E6"/>
    <w:rsid w:val="00D12F26"/>
    <w:rsid w:val="00D136B7"/>
    <w:rsid w:val="00D139D2"/>
    <w:rsid w:val="00D14B85"/>
    <w:rsid w:val="00D14DBC"/>
    <w:rsid w:val="00D15048"/>
    <w:rsid w:val="00D154BF"/>
    <w:rsid w:val="00D15BCC"/>
    <w:rsid w:val="00D15C32"/>
    <w:rsid w:val="00D16128"/>
    <w:rsid w:val="00D1619A"/>
    <w:rsid w:val="00D16AF4"/>
    <w:rsid w:val="00D16F6A"/>
    <w:rsid w:val="00D16F93"/>
    <w:rsid w:val="00D174BB"/>
    <w:rsid w:val="00D2038B"/>
    <w:rsid w:val="00D20629"/>
    <w:rsid w:val="00D207D2"/>
    <w:rsid w:val="00D20995"/>
    <w:rsid w:val="00D20D7A"/>
    <w:rsid w:val="00D22D4C"/>
    <w:rsid w:val="00D23F1F"/>
    <w:rsid w:val="00D24326"/>
    <w:rsid w:val="00D2445B"/>
    <w:rsid w:val="00D247FD"/>
    <w:rsid w:val="00D2509E"/>
    <w:rsid w:val="00D2558A"/>
    <w:rsid w:val="00D26362"/>
    <w:rsid w:val="00D264DB"/>
    <w:rsid w:val="00D268EE"/>
    <w:rsid w:val="00D26D7C"/>
    <w:rsid w:val="00D26E75"/>
    <w:rsid w:val="00D26EFD"/>
    <w:rsid w:val="00D27FCB"/>
    <w:rsid w:val="00D307F0"/>
    <w:rsid w:val="00D3172A"/>
    <w:rsid w:val="00D31E42"/>
    <w:rsid w:val="00D326CF"/>
    <w:rsid w:val="00D3271D"/>
    <w:rsid w:val="00D32C21"/>
    <w:rsid w:val="00D3351A"/>
    <w:rsid w:val="00D337B6"/>
    <w:rsid w:val="00D339D4"/>
    <w:rsid w:val="00D345C8"/>
    <w:rsid w:val="00D35710"/>
    <w:rsid w:val="00D36C96"/>
    <w:rsid w:val="00D379E3"/>
    <w:rsid w:val="00D37DBB"/>
    <w:rsid w:val="00D4027E"/>
    <w:rsid w:val="00D40296"/>
    <w:rsid w:val="00D40414"/>
    <w:rsid w:val="00D405DE"/>
    <w:rsid w:val="00D40B30"/>
    <w:rsid w:val="00D41E83"/>
    <w:rsid w:val="00D41FE2"/>
    <w:rsid w:val="00D433E4"/>
    <w:rsid w:val="00D43647"/>
    <w:rsid w:val="00D438B6"/>
    <w:rsid w:val="00D43A43"/>
    <w:rsid w:val="00D43C5A"/>
    <w:rsid w:val="00D4431C"/>
    <w:rsid w:val="00D44369"/>
    <w:rsid w:val="00D44826"/>
    <w:rsid w:val="00D44954"/>
    <w:rsid w:val="00D456AD"/>
    <w:rsid w:val="00D46830"/>
    <w:rsid w:val="00D469CA"/>
    <w:rsid w:val="00D47093"/>
    <w:rsid w:val="00D4769D"/>
    <w:rsid w:val="00D47BFE"/>
    <w:rsid w:val="00D50F52"/>
    <w:rsid w:val="00D519DC"/>
    <w:rsid w:val="00D51F30"/>
    <w:rsid w:val="00D52482"/>
    <w:rsid w:val="00D526EC"/>
    <w:rsid w:val="00D527BE"/>
    <w:rsid w:val="00D52C96"/>
    <w:rsid w:val="00D52F26"/>
    <w:rsid w:val="00D53953"/>
    <w:rsid w:val="00D54114"/>
    <w:rsid w:val="00D5434F"/>
    <w:rsid w:val="00D544A1"/>
    <w:rsid w:val="00D54C81"/>
    <w:rsid w:val="00D553F6"/>
    <w:rsid w:val="00D55C04"/>
    <w:rsid w:val="00D55C8C"/>
    <w:rsid w:val="00D56B17"/>
    <w:rsid w:val="00D575D4"/>
    <w:rsid w:val="00D579A7"/>
    <w:rsid w:val="00D57A53"/>
    <w:rsid w:val="00D6018C"/>
    <w:rsid w:val="00D60982"/>
    <w:rsid w:val="00D61BE5"/>
    <w:rsid w:val="00D61DE3"/>
    <w:rsid w:val="00D6222A"/>
    <w:rsid w:val="00D6255E"/>
    <w:rsid w:val="00D6291E"/>
    <w:rsid w:val="00D63C57"/>
    <w:rsid w:val="00D6432B"/>
    <w:rsid w:val="00D64CAC"/>
    <w:rsid w:val="00D64E89"/>
    <w:rsid w:val="00D650A2"/>
    <w:rsid w:val="00D65698"/>
    <w:rsid w:val="00D65B82"/>
    <w:rsid w:val="00D662BD"/>
    <w:rsid w:val="00D662D8"/>
    <w:rsid w:val="00D66498"/>
    <w:rsid w:val="00D66A3B"/>
    <w:rsid w:val="00D66F6B"/>
    <w:rsid w:val="00D67DC1"/>
    <w:rsid w:val="00D67ECB"/>
    <w:rsid w:val="00D7025F"/>
    <w:rsid w:val="00D70E05"/>
    <w:rsid w:val="00D71710"/>
    <w:rsid w:val="00D7226C"/>
    <w:rsid w:val="00D72AA5"/>
    <w:rsid w:val="00D72F01"/>
    <w:rsid w:val="00D733FA"/>
    <w:rsid w:val="00D73983"/>
    <w:rsid w:val="00D73A51"/>
    <w:rsid w:val="00D73E38"/>
    <w:rsid w:val="00D73F88"/>
    <w:rsid w:val="00D7403B"/>
    <w:rsid w:val="00D747A0"/>
    <w:rsid w:val="00D74DFE"/>
    <w:rsid w:val="00D754E7"/>
    <w:rsid w:val="00D759ED"/>
    <w:rsid w:val="00D75C32"/>
    <w:rsid w:val="00D7601D"/>
    <w:rsid w:val="00D76A2D"/>
    <w:rsid w:val="00D778C5"/>
    <w:rsid w:val="00D7794B"/>
    <w:rsid w:val="00D77BC4"/>
    <w:rsid w:val="00D80591"/>
    <w:rsid w:val="00D8079A"/>
    <w:rsid w:val="00D80B38"/>
    <w:rsid w:val="00D80C60"/>
    <w:rsid w:val="00D814DD"/>
    <w:rsid w:val="00D81AB8"/>
    <w:rsid w:val="00D82919"/>
    <w:rsid w:val="00D82D67"/>
    <w:rsid w:val="00D8318E"/>
    <w:rsid w:val="00D833BF"/>
    <w:rsid w:val="00D83BF9"/>
    <w:rsid w:val="00D83C6A"/>
    <w:rsid w:val="00D83DE3"/>
    <w:rsid w:val="00D840BA"/>
    <w:rsid w:val="00D84509"/>
    <w:rsid w:val="00D85043"/>
    <w:rsid w:val="00D85B59"/>
    <w:rsid w:val="00D85D78"/>
    <w:rsid w:val="00D863D9"/>
    <w:rsid w:val="00D86DF5"/>
    <w:rsid w:val="00D86F73"/>
    <w:rsid w:val="00D87C3C"/>
    <w:rsid w:val="00D87F41"/>
    <w:rsid w:val="00D905E2"/>
    <w:rsid w:val="00D90BE4"/>
    <w:rsid w:val="00D91023"/>
    <w:rsid w:val="00D91034"/>
    <w:rsid w:val="00D910FD"/>
    <w:rsid w:val="00D91207"/>
    <w:rsid w:val="00D9162A"/>
    <w:rsid w:val="00D91DD5"/>
    <w:rsid w:val="00D91F3A"/>
    <w:rsid w:val="00D92482"/>
    <w:rsid w:val="00D92791"/>
    <w:rsid w:val="00D927EC"/>
    <w:rsid w:val="00D932E2"/>
    <w:rsid w:val="00D936AF"/>
    <w:rsid w:val="00D936CF"/>
    <w:rsid w:val="00D940C2"/>
    <w:rsid w:val="00D944BD"/>
    <w:rsid w:val="00D9584F"/>
    <w:rsid w:val="00D95D9C"/>
    <w:rsid w:val="00D96D8F"/>
    <w:rsid w:val="00D971BD"/>
    <w:rsid w:val="00D9749D"/>
    <w:rsid w:val="00D979FE"/>
    <w:rsid w:val="00D97B67"/>
    <w:rsid w:val="00DA094E"/>
    <w:rsid w:val="00DA26C0"/>
    <w:rsid w:val="00DA2FAD"/>
    <w:rsid w:val="00DA36F0"/>
    <w:rsid w:val="00DA39C2"/>
    <w:rsid w:val="00DA41B2"/>
    <w:rsid w:val="00DA64BD"/>
    <w:rsid w:val="00DA6A61"/>
    <w:rsid w:val="00DA702E"/>
    <w:rsid w:val="00DA7707"/>
    <w:rsid w:val="00DA79E3"/>
    <w:rsid w:val="00DB03B7"/>
    <w:rsid w:val="00DB05F8"/>
    <w:rsid w:val="00DB1636"/>
    <w:rsid w:val="00DB1C41"/>
    <w:rsid w:val="00DB1CE8"/>
    <w:rsid w:val="00DB2D0C"/>
    <w:rsid w:val="00DB4314"/>
    <w:rsid w:val="00DB4519"/>
    <w:rsid w:val="00DB5842"/>
    <w:rsid w:val="00DB5A50"/>
    <w:rsid w:val="00DB6688"/>
    <w:rsid w:val="00DB7432"/>
    <w:rsid w:val="00DB7488"/>
    <w:rsid w:val="00DB74E0"/>
    <w:rsid w:val="00DB766E"/>
    <w:rsid w:val="00DC121E"/>
    <w:rsid w:val="00DC17A9"/>
    <w:rsid w:val="00DC1A1F"/>
    <w:rsid w:val="00DC1EAE"/>
    <w:rsid w:val="00DC1F46"/>
    <w:rsid w:val="00DC22C5"/>
    <w:rsid w:val="00DC275E"/>
    <w:rsid w:val="00DC33BD"/>
    <w:rsid w:val="00DC3AFB"/>
    <w:rsid w:val="00DC3C8D"/>
    <w:rsid w:val="00DC4103"/>
    <w:rsid w:val="00DC4323"/>
    <w:rsid w:val="00DC4B3E"/>
    <w:rsid w:val="00DC4BC0"/>
    <w:rsid w:val="00DC51A5"/>
    <w:rsid w:val="00DC5A6B"/>
    <w:rsid w:val="00DC5DD1"/>
    <w:rsid w:val="00DC6B23"/>
    <w:rsid w:val="00DC722C"/>
    <w:rsid w:val="00DC7C9E"/>
    <w:rsid w:val="00DC7F7E"/>
    <w:rsid w:val="00DD0730"/>
    <w:rsid w:val="00DD0EFF"/>
    <w:rsid w:val="00DD114D"/>
    <w:rsid w:val="00DD1916"/>
    <w:rsid w:val="00DD216E"/>
    <w:rsid w:val="00DD2188"/>
    <w:rsid w:val="00DD252B"/>
    <w:rsid w:val="00DD2641"/>
    <w:rsid w:val="00DD271B"/>
    <w:rsid w:val="00DD321B"/>
    <w:rsid w:val="00DD3595"/>
    <w:rsid w:val="00DD386D"/>
    <w:rsid w:val="00DD4DE7"/>
    <w:rsid w:val="00DD4FD5"/>
    <w:rsid w:val="00DD66E0"/>
    <w:rsid w:val="00DD6FA0"/>
    <w:rsid w:val="00DE0196"/>
    <w:rsid w:val="00DE01FE"/>
    <w:rsid w:val="00DE0981"/>
    <w:rsid w:val="00DE0F3E"/>
    <w:rsid w:val="00DE1093"/>
    <w:rsid w:val="00DE1649"/>
    <w:rsid w:val="00DE16FF"/>
    <w:rsid w:val="00DE23D6"/>
    <w:rsid w:val="00DE2567"/>
    <w:rsid w:val="00DE263D"/>
    <w:rsid w:val="00DE2CBB"/>
    <w:rsid w:val="00DE4F07"/>
    <w:rsid w:val="00DE6E87"/>
    <w:rsid w:val="00DF03D9"/>
    <w:rsid w:val="00DF0872"/>
    <w:rsid w:val="00DF0C66"/>
    <w:rsid w:val="00DF11BA"/>
    <w:rsid w:val="00DF12A8"/>
    <w:rsid w:val="00DF1598"/>
    <w:rsid w:val="00DF2A08"/>
    <w:rsid w:val="00DF3191"/>
    <w:rsid w:val="00DF3CF1"/>
    <w:rsid w:val="00DF5640"/>
    <w:rsid w:val="00DF5882"/>
    <w:rsid w:val="00DF6142"/>
    <w:rsid w:val="00DF64C7"/>
    <w:rsid w:val="00DF6584"/>
    <w:rsid w:val="00E00068"/>
    <w:rsid w:val="00E00A2F"/>
    <w:rsid w:val="00E00A8B"/>
    <w:rsid w:val="00E0101C"/>
    <w:rsid w:val="00E012FB"/>
    <w:rsid w:val="00E016B8"/>
    <w:rsid w:val="00E023DE"/>
    <w:rsid w:val="00E02D1F"/>
    <w:rsid w:val="00E031D7"/>
    <w:rsid w:val="00E03356"/>
    <w:rsid w:val="00E04110"/>
    <w:rsid w:val="00E044F4"/>
    <w:rsid w:val="00E052E5"/>
    <w:rsid w:val="00E05AE4"/>
    <w:rsid w:val="00E05FFC"/>
    <w:rsid w:val="00E06537"/>
    <w:rsid w:val="00E065D3"/>
    <w:rsid w:val="00E07FB6"/>
    <w:rsid w:val="00E1025E"/>
    <w:rsid w:val="00E105BF"/>
    <w:rsid w:val="00E10D51"/>
    <w:rsid w:val="00E11B81"/>
    <w:rsid w:val="00E11EAF"/>
    <w:rsid w:val="00E120ED"/>
    <w:rsid w:val="00E12AC6"/>
    <w:rsid w:val="00E12EC5"/>
    <w:rsid w:val="00E13105"/>
    <w:rsid w:val="00E13BE1"/>
    <w:rsid w:val="00E15659"/>
    <w:rsid w:val="00E15722"/>
    <w:rsid w:val="00E15775"/>
    <w:rsid w:val="00E162FE"/>
    <w:rsid w:val="00E16C88"/>
    <w:rsid w:val="00E16FBF"/>
    <w:rsid w:val="00E17149"/>
    <w:rsid w:val="00E17970"/>
    <w:rsid w:val="00E21846"/>
    <w:rsid w:val="00E236D7"/>
    <w:rsid w:val="00E23728"/>
    <w:rsid w:val="00E2394E"/>
    <w:rsid w:val="00E243A6"/>
    <w:rsid w:val="00E2466A"/>
    <w:rsid w:val="00E2493F"/>
    <w:rsid w:val="00E24991"/>
    <w:rsid w:val="00E252C4"/>
    <w:rsid w:val="00E25938"/>
    <w:rsid w:val="00E259EC"/>
    <w:rsid w:val="00E25E29"/>
    <w:rsid w:val="00E263D3"/>
    <w:rsid w:val="00E26A5A"/>
    <w:rsid w:val="00E26D33"/>
    <w:rsid w:val="00E26ECD"/>
    <w:rsid w:val="00E27148"/>
    <w:rsid w:val="00E274E1"/>
    <w:rsid w:val="00E2751E"/>
    <w:rsid w:val="00E27A26"/>
    <w:rsid w:val="00E27F5C"/>
    <w:rsid w:val="00E3098D"/>
    <w:rsid w:val="00E31656"/>
    <w:rsid w:val="00E31A8B"/>
    <w:rsid w:val="00E31AEA"/>
    <w:rsid w:val="00E31BB1"/>
    <w:rsid w:val="00E3262C"/>
    <w:rsid w:val="00E3265D"/>
    <w:rsid w:val="00E33024"/>
    <w:rsid w:val="00E3349D"/>
    <w:rsid w:val="00E33725"/>
    <w:rsid w:val="00E33C49"/>
    <w:rsid w:val="00E33D6C"/>
    <w:rsid w:val="00E33E2D"/>
    <w:rsid w:val="00E35179"/>
    <w:rsid w:val="00E352CD"/>
    <w:rsid w:val="00E35600"/>
    <w:rsid w:val="00E35B9A"/>
    <w:rsid w:val="00E35DC9"/>
    <w:rsid w:val="00E35E39"/>
    <w:rsid w:val="00E362DF"/>
    <w:rsid w:val="00E36C09"/>
    <w:rsid w:val="00E36FFC"/>
    <w:rsid w:val="00E37691"/>
    <w:rsid w:val="00E37D4E"/>
    <w:rsid w:val="00E40340"/>
    <w:rsid w:val="00E4066A"/>
    <w:rsid w:val="00E406B2"/>
    <w:rsid w:val="00E40A6C"/>
    <w:rsid w:val="00E410B0"/>
    <w:rsid w:val="00E41787"/>
    <w:rsid w:val="00E41CB6"/>
    <w:rsid w:val="00E4374A"/>
    <w:rsid w:val="00E43C8C"/>
    <w:rsid w:val="00E43E0F"/>
    <w:rsid w:val="00E44025"/>
    <w:rsid w:val="00E4473B"/>
    <w:rsid w:val="00E44A98"/>
    <w:rsid w:val="00E46198"/>
    <w:rsid w:val="00E463B0"/>
    <w:rsid w:val="00E469CE"/>
    <w:rsid w:val="00E477A8"/>
    <w:rsid w:val="00E478CA"/>
    <w:rsid w:val="00E50230"/>
    <w:rsid w:val="00E50532"/>
    <w:rsid w:val="00E509AB"/>
    <w:rsid w:val="00E509AC"/>
    <w:rsid w:val="00E50FAD"/>
    <w:rsid w:val="00E5152F"/>
    <w:rsid w:val="00E51CC8"/>
    <w:rsid w:val="00E51FF3"/>
    <w:rsid w:val="00E5297F"/>
    <w:rsid w:val="00E52C0B"/>
    <w:rsid w:val="00E53234"/>
    <w:rsid w:val="00E54148"/>
    <w:rsid w:val="00E546B7"/>
    <w:rsid w:val="00E54CE0"/>
    <w:rsid w:val="00E54D9F"/>
    <w:rsid w:val="00E55939"/>
    <w:rsid w:val="00E56AFA"/>
    <w:rsid w:val="00E570EC"/>
    <w:rsid w:val="00E57124"/>
    <w:rsid w:val="00E5717B"/>
    <w:rsid w:val="00E603BB"/>
    <w:rsid w:val="00E61AD9"/>
    <w:rsid w:val="00E62097"/>
    <w:rsid w:val="00E62372"/>
    <w:rsid w:val="00E626E2"/>
    <w:rsid w:val="00E62971"/>
    <w:rsid w:val="00E62CFE"/>
    <w:rsid w:val="00E6400E"/>
    <w:rsid w:val="00E647FD"/>
    <w:rsid w:val="00E6482F"/>
    <w:rsid w:val="00E649CA"/>
    <w:rsid w:val="00E64BAB"/>
    <w:rsid w:val="00E651EB"/>
    <w:rsid w:val="00E652B1"/>
    <w:rsid w:val="00E652D2"/>
    <w:rsid w:val="00E658AA"/>
    <w:rsid w:val="00E65CEC"/>
    <w:rsid w:val="00E66701"/>
    <w:rsid w:val="00E677E1"/>
    <w:rsid w:val="00E67BD3"/>
    <w:rsid w:val="00E7256D"/>
    <w:rsid w:val="00E72941"/>
    <w:rsid w:val="00E72F8E"/>
    <w:rsid w:val="00E74194"/>
    <w:rsid w:val="00E741FE"/>
    <w:rsid w:val="00E74464"/>
    <w:rsid w:val="00E74940"/>
    <w:rsid w:val="00E74A94"/>
    <w:rsid w:val="00E75388"/>
    <w:rsid w:val="00E75E1E"/>
    <w:rsid w:val="00E760EB"/>
    <w:rsid w:val="00E768E7"/>
    <w:rsid w:val="00E76C5C"/>
    <w:rsid w:val="00E7701D"/>
    <w:rsid w:val="00E77443"/>
    <w:rsid w:val="00E8012F"/>
    <w:rsid w:val="00E805F0"/>
    <w:rsid w:val="00E813E0"/>
    <w:rsid w:val="00E81C43"/>
    <w:rsid w:val="00E81C59"/>
    <w:rsid w:val="00E82014"/>
    <w:rsid w:val="00E825BA"/>
    <w:rsid w:val="00E827DB"/>
    <w:rsid w:val="00E82F98"/>
    <w:rsid w:val="00E84143"/>
    <w:rsid w:val="00E843BD"/>
    <w:rsid w:val="00E84466"/>
    <w:rsid w:val="00E84E76"/>
    <w:rsid w:val="00E86419"/>
    <w:rsid w:val="00E869F9"/>
    <w:rsid w:val="00E86EFF"/>
    <w:rsid w:val="00E86F21"/>
    <w:rsid w:val="00E878B9"/>
    <w:rsid w:val="00E87CD9"/>
    <w:rsid w:val="00E915E0"/>
    <w:rsid w:val="00E921DF"/>
    <w:rsid w:val="00E92B40"/>
    <w:rsid w:val="00E93994"/>
    <w:rsid w:val="00E948DE"/>
    <w:rsid w:val="00E960EB"/>
    <w:rsid w:val="00EA0525"/>
    <w:rsid w:val="00EA08B9"/>
    <w:rsid w:val="00EA1538"/>
    <w:rsid w:val="00EA15D8"/>
    <w:rsid w:val="00EA2AB3"/>
    <w:rsid w:val="00EA2C87"/>
    <w:rsid w:val="00EA32F6"/>
    <w:rsid w:val="00EA356C"/>
    <w:rsid w:val="00EA3B9A"/>
    <w:rsid w:val="00EA4B93"/>
    <w:rsid w:val="00EA4F25"/>
    <w:rsid w:val="00EA4F3B"/>
    <w:rsid w:val="00EA5839"/>
    <w:rsid w:val="00EA5C37"/>
    <w:rsid w:val="00EA61A1"/>
    <w:rsid w:val="00EA7477"/>
    <w:rsid w:val="00EA7583"/>
    <w:rsid w:val="00EA768D"/>
    <w:rsid w:val="00EB06F6"/>
    <w:rsid w:val="00EB0867"/>
    <w:rsid w:val="00EB0898"/>
    <w:rsid w:val="00EB0966"/>
    <w:rsid w:val="00EB1979"/>
    <w:rsid w:val="00EB1C35"/>
    <w:rsid w:val="00EB1D63"/>
    <w:rsid w:val="00EB1F0D"/>
    <w:rsid w:val="00EB1FAF"/>
    <w:rsid w:val="00EB252A"/>
    <w:rsid w:val="00EB3566"/>
    <w:rsid w:val="00EB37C2"/>
    <w:rsid w:val="00EB39B8"/>
    <w:rsid w:val="00EB4FDA"/>
    <w:rsid w:val="00EB51B9"/>
    <w:rsid w:val="00EB5472"/>
    <w:rsid w:val="00EB5A0F"/>
    <w:rsid w:val="00EB5CC4"/>
    <w:rsid w:val="00EB5F32"/>
    <w:rsid w:val="00EB628C"/>
    <w:rsid w:val="00EB6617"/>
    <w:rsid w:val="00EB6A1D"/>
    <w:rsid w:val="00EB6AB3"/>
    <w:rsid w:val="00EB70D7"/>
    <w:rsid w:val="00EB7E75"/>
    <w:rsid w:val="00EB7E81"/>
    <w:rsid w:val="00EC0900"/>
    <w:rsid w:val="00EC0DCF"/>
    <w:rsid w:val="00EC11D5"/>
    <w:rsid w:val="00EC25E3"/>
    <w:rsid w:val="00EC2700"/>
    <w:rsid w:val="00EC3909"/>
    <w:rsid w:val="00EC39FC"/>
    <w:rsid w:val="00EC3E23"/>
    <w:rsid w:val="00EC4CFC"/>
    <w:rsid w:val="00EC4F5D"/>
    <w:rsid w:val="00EC69DC"/>
    <w:rsid w:val="00EC6BE7"/>
    <w:rsid w:val="00EC7385"/>
    <w:rsid w:val="00EC74F2"/>
    <w:rsid w:val="00EC7EFB"/>
    <w:rsid w:val="00ED11BF"/>
    <w:rsid w:val="00ED21F5"/>
    <w:rsid w:val="00ED2F6A"/>
    <w:rsid w:val="00ED36E3"/>
    <w:rsid w:val="00ED3AF5"/>
    <w:rsid w:val="00ED3C5C"/>
    <w:rsid w:val="00ED47F0"/>
    <w:rsid w:val="00ED4D71"/>
    <w:rsid w:val="00ED4E78"/>
    <w:rsid w:val="00ED6554"/>
    <w:rsid w:val="00ED69F7"/>
    <w:rsid w:val="00ED6F7D"/>
    <w:rsid w:val="00ED76D6"/>
    <w:rsid w:val="00ED7730"/>
    <w:rsid w:val="00ED7CF8"/>
    <w:rsid w:val="00ED7DC5"/>
    <w:rsid w:val="00EE04F5"/>
    <w:rsid w:val="00EE05B2"/>
    <w:rsid w:val="00EE0E36"/>
    <w:rsid w:val="00EE1778"/>
    <w:rsid w:val="00EE1867"/>
    <w:rsid w:val="00EE27CD"/>
    <w:rsid w:val="00EE2A4E"/>
    <w:rsid w:val="00EE2DDC"/>
    <w:rsid w:val="00EE3905"/>
    <w:rsid w:val="00EE44AE"/>
    <w:rsid w:val="00EE4DC2"/>
    <w:rsid w:val="00EE5CAE"/>
    <w:rsid w:val="00EE64BE"/>
    <w:rsid w:val="00EE7BC5"/>
    <w:rsid w:val="00EE7F88"/>
    <w:rsid w:val="00EF006A"/>
    <w:rsid w:val="00EF00AB"/>
    <w:rsid w:val="00EF0374"/>
    <w:rsid w:val="00EF0631"/>
    <w:rsid w:val="00EF0E4F"/>
    <w:rsid w:val="00EF16AB"/>
    <w:rsid w:val="00EF1ADB"/>
    <w:rsid w:val="00EF1CE7"/>
    <w:rsid w:val="00EF25EB"/>
    <w:rsid w:val="00EF2689"/>
    <w:rsid w:val="00EF31CA"/>
    <w:rsid w:val="00EF3709"/>
    <w:rsid w:val="00EF3803"/>
    <w:rsid w:val="00EF3953"/>
    <w:rsid w:val="00EF4719"/>
    <w:rsid w:val="00EF4EBE"/>
    <w:rsid w:val="00EF566C"/>
    <w:rsid w:val="00EF5674"/>
    <w:rsid w:val="00EF5769"/>
    <w:rsid w:val="00EF59C4"/>
    <w:rsid w:val="00EF5D56"/>
    <w:rsid w:val="00EF6178"/>
    <w:rsid w:val="00EF63B6"/>
    <w:rsid w:val="00EF680C"/>
    <w:rsid w:val="00EF6AEE"/>
    <w:rsid w:val="00EF6B2E"/>
    <w:rsid w:val="00EF6E97"/>
    <w:rsid w:val="00EF767E"/>
    <w:rsid w:val="00EF769F"/>
    <w:rsid w:val="00EF77DE"/>
    <w:rsid w:val="00F0101C"/>
    <w:rsid w:val="00F01B78"/>
    <w:rsid w:val="00F02491"/>
    <w:rsid w:val="00F0348E"/>
    <w:rsid w:val="00F03624"/>
    <w:rsid w:val="00F0384F"/>
    <w:rsid w:val="00F04494"/>
    <w:rsid w:val="00F04527"/>
    <w:rsid w:val="00F04E07"/>
    <w:rsid w:val="00F04E6B"/>
    <w:rsid w:val="00F050F3"/>
    <w:rsid w:val="00F0549D"/>
    <w:rsid w:val="00F05F58"/>
    <w:rsid w:val="00F061F9"/>
    <w:rsid w:val="00F0703F"/>
    <w:rsid w:val="00F07138"/>
    <w:rsid w:val="00F0746B"/>
    <w:rsid w:val="00F07616"/>
    <w:rsid w:val="00F076D8"/>
    <w:rsid w:val="00F07934"/>
    <w:rsid w:val="00F07FCE"/>
    <w:rsid w:val="00F1020C"/>
    <w:rsid w:val="00F10A81"/>
    <w:rsid w:val="00F10D47"/>
    <w:rsid w:val="00F11A42"/>
    <w:rsid w:val="00F11EF0"/>
    <w:rsid w:val="00F122BC"/>
    <w:rsid w:val="00F123E6"/>
    <w:rsid w:val="00F12494"/>
    <w:rsid w:val="00F12716"/>
    <w:rsid w:val="00F12B84"/>
    <w:rsid w:val="00F13D58"/>
    <w:rsid w:val="00F1412E"/>
    <w:rsid w:val="00F149BA"/>
    <w:rsid w:val="00F14A3E"/>
    <w:rsid w:val="00F14C40"/>
    <w:rsid w:val="00F156DF"/>
    <w:rsid w:val="00F15936"/>
    <w:rsid w:val="00F15AB7"/>
    <w:rsid w:val="00F15C2F"/>
    <w:rsid w:val="00F15DCC"/>
    <w:rsid w:val="00F15E56"/>
    <w:rsid w:val="00F1623F"/>
    <w:rsid w:val="00F162CE"/>
    <w:rsid w:val="00F1637F"/>
    <w:rsid w:val="00F1673D"/>
    <w:rsid w:val="00F16C95"/>
    <w:rsid w:val="00F16CAF"/>
    <w:rsid w:val="00F17274"/>
    <w:rsid w:val="00F17914"/>
    <w:rsid w:val="00F17AF1"/>
    <w:rsid w:val="00F210E3"/>
    <w:rsid w:val="00F21829"/>
    <w:rsid w:val="00F21C42"/>
    <w:rsid w:val="00F21DB3"/>
    <w:rsid w:val="00F22750"/>
    <w:rsid w:val="00F228ED"/>
    <w:rsid w:val="00F22C11"/>
    <w:rsid w:val="00F22FE0"/>
    <w:rsid w:val="00F23108"/>
    <w:rsid w:val="00F2312B"/>
    <w:rsid w:val="00F236FE"/>
    <w:rsid w:val="00F238F7"/>
    <w:rsid w:val="00F23B64"/>
    <w:rsid w:val="00F2407B"/>
    <w:rsid w:val="00F24A46"/>
    <w:rsid w:val="00F26C64"/>
    <w:rsid w:val="00F27504"/>
    <w:rsid w:val="00F27949"/>
    <w:rsid w:val="00F316D0"/>
    <w:rsid w:val="00F31CAC"/>
    <w:rsid w:val="00F3320F"/>
    <w:rsid w:val="00F34B05"/>
    <w:rsid w:val="00F35923"/>
    <w:rsid w:val="00F35A7E"/>
    <w:rsid w:val="00F35B85"/>
    <w:rsid w:val="00F377C8"/>
    <w:rsid w:val="00F3796F"/>
    <w:rsid w:val="00F37D79"/>
    <w:rsid w:val="00F37EFF"/>
    <w:rsid w:val="00F4067C"/>
    <w:rsid w:val="00F40E2C"/>
    <w:rsid w:val="00F415E6"/>
    <w:rsid w:val="00F41BFA"/>
    <w:rsid w:val="00F430BC"/>
    <w:rsid w:val="00F4311F"/>
    <w:rsid w:val="00F439BA"/>
    <w:rsid w:val="00F4470C"/>
    <w:rsid w:val="00F449E2"/>
    <w:rsid w:val="00F44D06"/>
    <w:rsid w:val="00F45387"/>
    <w:rsid w:val="00F45B7F"/>
    <w:rsid w:val="00F463A0"/>
    <w:rsid w:val="00F4772B"/>
    <w:rsid w:val="00F47BE8"/>
    <w:rsid w:val="00F47CEB"/>
    <w:rsid w:val="00F50665"/>
    <w:rsid w:val="00F52267"/>
    <w:rsid w:val="00F523D8"/>
    <w:rsid w:val="00F52F14"/>
    <w:rsid w:val="00F53F79"/>
    <w:rsid w:val="00F54B4D"/>
    <w:rsid w:val="00F55156"/>
    <w:rsid w:val="00F5594C"/>
    <w:rsid w:val="00F559BB"/>
    <w:rsid w:val="00F5778A"/>
    <w:rsid w:val="00F57D24"/>
    <w:rsid w:val="00F6000C"/>
    <w:rsid w:val="00F6074B"/>
    <w:rsid w:val="00F619CB"/>
    <w:rsid w:val="00F61AC4"/>
    <w:rsid w:val="00F61CB2"/>
    <w:rsid w:val="00F62A5E"/>
    <w:rsid w:val="00F630C0"/>
    <w:rsid w:val="00F632A8"/>
    <w:rsid w:val="00F637DA"/>
    <w:rsid w:val="00F64048"/>
    <w:rsid w:val="00F640D7"/>
    <w:rsid w:val="00F6477E"/>
    <w:rsid w:val="00F64B38"/>
    <w:rsid w:val="00F66111"/>
    <w:rsid w:val="00F66378"/>
    <w:rsid w:val="00F67CDE"/>
    <w:rsid w:val="00F67E5A"/>
    <w:rsid w:val="00F706E3"/>
    <w:rsid w:val="00F70727"/>
    <w:rsid w:val="00F70782"/>
    <w:rsid w:val="00F709FA"/>
    <w:rsid w:val="00F70A14"/>
    <w:rsid w:val="00F70B4C"/>
    <w:rsid w:val="00F70C6F"/>
    <w:rsid w:val="00F7179E"/>
    <w:rsid w:val="00F71FF1"/>
    <w:rsid w:val="00F725D1"/>
    <w:rsid w:val="00F7280D"/>
    <w:rsid w:val="00F73112"/>
    <w:rsid w:val="00F73C22"/>
    <w:rsid w:val="00F74EC0"/>
    <w:rsid w:val="00F75BDD"/>
    <w:rsid w:val="00F75EFA"/>
    <w:rsid w:val="00F762C4"/>
    <w:rsid w:val="00F76408"/>
    <w:rsid w:val="00F76D1F"/>
    <w:rsid w:val="00F80630"/>
    <w:rsid w:val="00F8088C"/>
    <w:rsid w:val="00F81116"/>
    <w:rsid w:val="00F816E3"/>
    <w:rsid w:val="00F81C8D"/>
    <w:rsid w:val="00F82122"/>
    <w:rsid w:val="00F82451"/>
    <w:rsid w:val="00F82803"/>
    <w:rsid w:val="00F82F3A"/>
    <w:rsid w:val="00F84969"/>
    <w:rsid w:val="00F84AA5"/>
    <w:rsid w:val="00F84BAF"/>
    <w:rsid w:val="00F84C70"/>
    <w:rsid w:val="00F8511D"/>
    <w:rsid w:val="00F8551A"/>
    <w:rsid w:val="00F8609E"/>
    <w:rsid w:val="00F871FE"/>
    <w:rsid w:val="00F87389"/>
    <w:rsid w:val="00F87A6F"/>
    <w:rsid w:val="00F87DF8"/>
    <w:rsid w:val="00F90253"/>
    <w:rsid w:val="00F90606"/>
    <w:rsid w:val="00F918E1"/>
    <w:rsid w:val="00F91BAA"/>
    <w:rsid w:val="00F91BD4"/>
    <w:rsid w:val="00F91FFB"/>
    <w:rsid w:val="00F93D0D"/>
    <w:rsid w:val="00F93FAB"/>
    <w:rsid w:val="00F9422D"/>
    <w:rsid w:val="00F946C3"/>
    <w:rsid w:val="00F958F5"/>
    <w:rsid w:val="00F968A0"/>
    <w:rsid w:val="00F968EE"/>
    <w:rsid w:val="00F96A52"/>
    <w:rsid w:val="00F97F02"/>
    <w:rsid w:val="00FA0B16"/>
    <w:rsid w:val="00FA1E5E"/>
    <w:rsid w:val="00FA2338"/>
    <w:rsid w:val="00FA2552"/>
    <w:rsid w:val="00FA26A1"/>
    <w:rsid w:val="00FA2AF0"/>
    <w:rsid w:val="00FA2D20"/>
    <w:rsid w:val="00FA3DE0"/>
    <w:rsid w:val="00FA3E8B"/>
    <w:rsid w:val="00FA422A"/>
    <w:rsid w:val="00FA4FFF"/>
    <w:rsid w:val="00FA5155"/>
    <w:rsid w:val="00FA5BDB"/>
    <w:rsid w:val="00FA6471"/>
    <w:rsid w:val="00FA67C7"/>
    <w:rsid w:val="00FA75DA"/>
    <w:rsid w:val="00FB082C"/>
    <w:rsid w:val="00FB0A1B"/>
    <w:rsid w:val="00FB0ADE"/>
    <w:rsid w:val="00FB0CB4"/>
    <w:rsid w:val="00FB1207"/>
    <w:rsid w:val="00FB187C"/>
    <w:rsid w:val="00FB23A8"/>
    <w:rsid w:val="00FB2C02"/>
    <w:rsid w:val="00FB2D0B"/>
    <w:rsid w:val="00FB34C2"/>
    <w:rsid w:val="00FB34EE"/>
    <w:rsid w:val="00FB3AE8"/>
    <w:rsid w:val="00FB47AD"/>
    <w:rsid w:val="00FB6AD2"/>
    <w:rsid w:val="00FB6AED"/>
    <w:rsid w:val="00FB70BB"/>
    <w:rsid w:val="00FB7CB7"/>
    <w:rsid w:val="00FC0B10"/>
    <w:rsid w:val="00FC0BFE"/>
    <w:rsid w:val="00FC10B3"/>
    <w:rsid w:val="00FC1138"/>
    <w:rsid w:val="00FC13A8"/>
    <w:rsid w:val="00FC2199"/>
    <w:rsid w:val="00FC3B5E"/>
    <w:rsid w:val="00FC4525"/>
    <w:rsid w:val="00FC467F"/>
    <w:rsid w:val="00FC4730"/>
    <w:rsid w:val="00FC5576"/>
    <w:rsid w:val="00FC7AD7"/>
    <w:rsid w:val="00FC7F04"/>
    <w:rsid w:val="00FD0130"/>
    <w:rsid w:val="00FD01EB"/>
    <w:rsid w:val="00FD074F"/>
    <w:rsid w:val="00FD07C8"/>
    <w:rsid w:val="00FD081F"/>
    <w:rsid w:val="00FD1199"/>
    <w:rsid w:val="00FD161A"/>
    <w:rsid w:val="00FD1A3F"/>
    <w:rsid w:val="00FD1A7E"/>
    <w:rsid w:val="00FD2256"/>
    <w:rsid w:val="00FD2C2C"/>
    <w:rsid w:val="00FD3174"/>
    <w:rsid w:val="00FD3976"/>
    <w:rsid w:val="00FD5629"/>
    <w:rsid w:val="00FD578E"/>
    <w:rsid w:val="00FD5790"/>
    <w:rsid w:val="00FD5802"/>
    <w:rsid w:val="00FD5BA4"/>
    <w:rsid w:val="00FD6347"/>
    <w:rsid w:val="00FD674F"/>
    <w:rsid w:val="00FD7173"/>
    <w:rsid w:val="00FD7583"/>
    <w:rsid w:val="00FD75A4"/>
    <w:rsid w:val="00FD7BC2"/>
    <w:rsid w:val="00FE0D56"/>
    <w:rsid w:val="00FE0F5B"/>
    <w:rsid w:val="00FE1445"/>
    <w:rsid w:val="00FE16A9"/>
    <w:rsid w:val="00FE2B6E"/>
    <w:rsid w:val="00FE309B"/>
    <w:rsid w:val="00FE3195"/>
    <w:rsid w:val="00FE3601"/>
    <w:rsid w:val="00FE3A4F"/>
    <w:rsid w:val="00FE4170"/>
    <w:rsid w:val="00FE5489"/>
    <w:rsid w:val="00FE559E"/>
    <w:rsid w:val="00FE5823"/>
    <w:rsid w:val="00FE5AB5"/>
    <w:rsid w:val="00FE5B8D"/>
    <w:rsid w:val="00FE667E"/>
    <w:rsid w:val="00FE7654"/>
    <w:rsid w:val="00FF0589"/>
    <w:rsid w:val="00FF072D"/>
    <w:rsid w:val="00FF1F01"/>
    <w:rsid w:val="00FF2B05"/>
    <w:rsid w:val="00FF2B3B"/>
    <w:rsid w:val="00FF2F65"/>
    <w:rsid w:val="00FF339E"/>
    <w:rsid w:val="00FF349A"/>
    <w:rsid w:val="00FF432D"/>
    <w:rsid w:val="00FF43FA"/>
    <w:rsid w:val="00FF4C9A"/>
    <w:rsid w:val="00FF4E43"/>
    <w:rsid w:val="00FF56FC"/>
    <w:rsid w:val="00FF5804"/>
    <w:rsid w:val="00FF598C"/>
    <w:rsid w:val="00FF69BA"/>
    <w:rsid w:val="00FF6A39"/>
    <w:rsid w:val="00FF6A60"/>
    <w:rsid w:val="00FF76CE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39EC8D"/>
  <w15:chartTrackingRefBased/>
  <w15:docId w15:val="{C1739D96-3AB0-4124-992B-1814825B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65"/>
  </w:style>
  <w:style w:type="paragraph" w:styleId="Heading1">
    <w:name w:val="heading 1"/>
    <w:basedOn w:val="Normal"/>
    <w:next w:val="Normal"/>
    <w:link w:val="Heading1Char"/>
    <w:uiPriority w:val="9"/>
    <w:rsid w:val="0077092A"/>
    <w:pPr>
      <w:keepNext/>
      <w:keepLines/>
      <w:spacing w:before="360" w:after="120"/>
      <w:outlineLvl w:val="0"/>
      <w15:collapsed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A5B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40F99"/>
    <w:pPr>
      <w:keepNext/>
      <w:keepLines/>
      <w:spacing w:before="240" w:after="0"/>
      <w:jc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C45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9A2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2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09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30A11"/>
    <w:pPr>
      <w:numPr>
        <w:ilvl w:val="1"/>
      </w:numPr>
      <w:spacing w:after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0A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6B187C"/>
    <w:rPr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rsid w:val="00AC72C2"/>
    <w:rPr>
      <w:i/>
      <w:iCs/>
      <w:sz w:val="24"/>
      <w:szCs w:val="24"/>
    </w:rPr>
  </w:style>
  <w:style w:type="paragraph" w:customStyle="1" w:styleId="GraphStyle">
    <w:name w:val="Graph Style"/>
    <w:basedOn w:val="Normal"/>
    <w:rsid w:val="00FD7BC2"/>
    <w:pPr>
      <w:keepNext/>
      <w:spacing w:after="120"/>
    </w:pPr>
    <w:rPr>
      <w:noProof/>
    </w:rPr>
  </w:style>
  <w:style w:type="paragraph" w:styleId="ListParagraph">
    <w:name w:val="List Paragraph"/>
    <w:basedOn w:val="Normal"/>
    <w:uiPriority w:val="34"/>
    <w:qFormat/>
    <w:rsid w:val="00B60D09"/>
    <w:pPr>
      <w:spacing w:before="120" w:after="120"/>
      <w:ind w:left="720"/>
      <w:contextualSpacing/>
    </w:pPr>
  </w:style>
  <w:style w:type="table" w:styleId="TableGrid">
    <w:name w:val="Table Grid"/>
    <w:basedOn w:val="TableNormal"/>
    <w:uiPriority w:val="39"/>
    <w:rsid w:val="008A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D3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5B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0F99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table" w:styleId="TableGridLight">
    <w:name w:val="Grid Table Light"/>
    <w:basedOn w:val="TableNormal"/>
    <w:uiPriority w:val="40"/>
    <w:rsid w:val="008775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rsid w:val="00D436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1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D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006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C45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B1647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9C"/>
  </w:style>
  <w:style w:type="paragraph" w:styleId="Footer">
    <w:name w:val="footer"/>
    <w:basedOn w:val="Normal"/>
    <w:link w:val="FooterChar"/>
    <w:uiPriority w:val="99"/>
    <w:unhideWhenUsed/>
    <w:rsid w:val="001D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9C"/>
  </w:style>
  <w:style w:type="character" w:styleId="IntenseEmphasis">
    <w:name w:val="Intense Emphasis"/>
    <w:basedOn w:val="DefaultParagraphFont"/>
    <w:uiPriority w:val="21"/>
    <w:rsid w:val="0042059F"/>
    <w:rPr>
      <w:i/>
      <w:iCs/>
      <w:color w:val="4472C4" w:themeColor="accent1"/>
    </w:rPr>
  </w:style>
  <w:style w:type="paragraph" w:customStyle="1" w:styleId="Graphics-Two-by-Two">
    <w:name w:val="Graphics-Two-by-Two"/>
    <w:basedOn w:val="Normal"/>
    <w:link w:val="Graphics-Two-by-TwoChar"/>
    <w:qFormat/>
    <w:rsid w:val="00D31E42"/>
    <w:pPr>
      <w:tabs>
        <w:tab w:val="left" w:pos="4680"/>
      </w:tabs>
      <w:spacing w:after="0"/>
    </w:pPr>
    <w:rPr>
      <w:noProof/>
    </w:rPr>
  </w:style>
  <w:style w:type="paragraph" w:customStyle="1" w:styleId="DataTable3x3by2wide">
    <w:name w:val="Data Table: 3x3 by 2 wide"/>
    <w:basedOn w:val="Normal"/>
    <w:link w:val="DataTable3x3by2wideChar"/>
    <w:qFormat/>
    <w:rsid w:val="00617A66"/>
    <w:pPr>
      <w:spacing w:after="0" w:line="240" w:lineRule="auto"/>
      <w:jc w:val="center"/>
    </w:pPr>
    <w:rPr>
      <w:rFonts w:ascii="Calibri" w:eastAsia="Times New Roman" w:hAnsi="Calibri" w:cs="Calibri"/>
      <w:color w:val="000000"/>
    </w:rPr>
  </w:style>
  <w:style w:type="character" w:customStyle="1" w:styleId="Graphics-Two-by-TwoChar">
    <w:name w:val="Graphics-Two-by-Two Char"/>
    <w:basedOn w:val="DefaultParagraphFont"/>
    <w:link w:val="Graphics-Two-by-Two"/>
    <w:rsid w:val="00D31E42"/>
    <w:rPr>
      <w:noProof/>
    </w:rPr>
  </w:style>
  <w:style w:type="paragraph" w:customStyle="1" w:styleId="FiguresandAMBestSource">
    <w:name w:val="Figures and AM Best Source"/>
    <w:basedOn w:val="Normal"/>
    <w:link w:val="FiguresandAMBestSourceChar"/>
    <w:qFormat/>
    <w:rsid w:val="00DD386D"/>
    <w:pPr>
      <w:tabs>
        <w:tab w:val="left" w:pos="4680"/>
      </w:tabs>
      <w:spacing w:before="120" w:after="240"/>
    </w:pPr>
    <w:rPr>
      <w:sz w:val="20"/>
      <w:szCs w:val="20"/>
    </w:rPr>
  </w:style>
  <w:style w:type="character" w:customStyle="1" w:styleId="DataTable3x3by2wideChar">
    <w:name w:val="Data Table: 3x3 by 2 wide Char"/>
    <w:basedOn w:val="DefaultParagraphFont"/>
    <w:link w:val="DataTable3x3by2wide"/>
    <w:rsid w:val="00617A66"/>
    <w:rPr>
      <w:rFonts w:ascii="Calibri" w:eastAsia="Times New Roman" w:hAnsi="Calibri" w:cs="Calibri"/>
      <w:color w:val="000000"/>
    </w:rPr>
  </w:style>
  <w:style w:type="paragraph" w:customStyle="1" w:styleId="Seperator">
    <w:name w:val="Seperator"/>
    <w:basedOn w:val="Normal"/>
    <w:link w:val="SeperatorChar"/>
    <w:qFormat/>
    <w:rsid w:val="006B3173"/>
    <w:pPr>
      <w:pBdr>
        <w:bottom w:val="single" w:sz="4" w:space="1" w:color="auto"/>
      </w:pBdr>
      <w:spacing w:before="600" w:after="120" w:line="240" w:lineRule="auto"/>
    </w:pPr>
    <w:rPr>
      <w:i/>
      <w:iCs/>
      <w:color w:val="4472C4" w:themeColor="accent1"/>
    </w:rPr>
  </w:style>
  <w:style w:type="character" w:customStyle="1" w:styleId="FiguresandAMBestSourceChar">
    <w:name w:val="Figures and AM Best Source Char"/>
    <w:basedOn w:val="DefaultParagraphFont"/>
    <w:link w:val="FiguresandAMBestSource"/>
    <w:rsid w:val="00DD386D"/>
    <w:rPr>
      <w:sz w:val="20"/>
      <w:szCs w:val="20"/>
    </w:rPr>
  </w:style>
  <w:style w:type="paragraph" w:customStyle="1" w:styleId="NotesorCommetns">
    <w:name w:val="Notes or Commetns"/>
    <w:basedOn w:val="Normal"/>
    <w:link w:val="NotesorCommetnsChar"/>
    <w:qFormat/>
    <w:rsid w:val="0077092A"/>
    <w:pPr>
      <w:spacing w:after="0"/>
    </w:pPr>
    <w:rPr>
      <w:b/>
      <w:bCs/>
      <w:u w:val="single"/>
    </w:rPr>
  </w:style>
  <w:style w:type="character" w:customStyle="1" w:styleId="SeperatorChar">
    <w:name w:val="Seperator Char"/>
    <w:basedOn w:val="DefaultParagraphFont"/>
    <w:link w:val="Seperator"/>
    <w:rsid w:val="006B3173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B5EB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i/>
      <w:iCs/>
      <w:color w:val="4472C4" w:themeColor="accent1"/>
      <w:sz w:val="36"/>
      <w:szCs w:val="36"/>
    </w:rPr>
  </w:style>
  <w:style w:type="character" w:customStyle="1" w:styleId="NotesorCommetnsChar">
    <w:name w:val="Notes or Commetns Char"/>
    <w:basedOn w:val="DefaultParagraphFont"/>
    <w:link w:val="NotesorCommetns"/>
    <w:rsid w:val="0077092A"/>
    <w:rPr>
      <w:b/>
      <w:bCs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EB1"/>
    <w:rPr>
      <w:i/>
      <w:iCs/>
      <w:color w:val="4472C4" w:themeColor="accent1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208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0889"/>
    <w:rPr>
      <w:i/>
      <w:iCs/>
      <w:color w:val="404040" w:themeColor="text1" w:themeTint="BF"/>
    </w:rPr>
  </w:style>
  <w:style w:type="paragraph" w:customStyle="1" w:styleId="Heading1-NoCollasping">
    <w:name w:val="Heading1-No Collasping"/>
    <w:basedOn w:val="Normal"/>
    <w:link w:val="Heading1-NoCollaspingChar"/>
    <w:qFormat/>
    <w:rsid w:val="00FB1207"/>
    <w:pPr>
      <w:spacing w:before="360" w:after="120"/>
    </w:pPr>
    <w:rPr>
      <w:rFonts w:asciiTheme="majorHAnsi" w:hAnsiTheme="majorHAnsi"/>
      <w:color w:val="4472C4" w:themeColor="accent1"/>
      <w:sz w:val="36"/>
    </w:rPr>
  </w:style>
  <w:style w:type="paragraph" w:customStyle="1" w:styleId="Heading2-NoCollapsing">
    <w:name w:val="Heading2-No Collapsing"/>
    <w:basedOn w:val="Normal"/>
    <w:link w:val="Heading2-NoCollapsingChar"/>
    <w:qFormat/>
    <w:rsid w:val="00FB6AD2"/>
    <w:pPr>
      <w:spacing w:before="360" w:after="120"/>
    </w:pPr>
    <w:rPr>
      <w:rFonts w:asciiTheme="majorHAnsi" w:hAnsiTheme="majorHAnsi"/>
      <w:color w:val="4472C4" w:themeColor="accent1"/>
      <w:sz w:val="28"/>
      <w:szCs w:val="28"/>
    </w:rPr>
  </w:style>
  <w:style w:type="character" w:customStyle="1" w:styleId="Heading1-NoCollaspingChar">
    <w:name w:val="Heading1-No Collasping Char"/>
    <w:basedOn w:val="DefaultParagraphFont"/>
    <w:link w:val="Heading1-NoCollasping"/>
    <w:rsid w:val="00FB1207"/>
    <w:rPr>
      <w:rFonts w:asciiTheme="majorHAnsi" w:hAnsiTheme="majorHAnsi"/>
      <w:color w:val="4472C4" w:themeColor="accent1"/>
      <w:sz w:val="36"/>
    </w:rPr>
  </w:style>
  <w:style w:type="paragraph" w:customStyle="1" w:styleId="Heading2-Landscape">
    <w:name w:val="Heading2-Landscape"/>
    <w:basedOn w:val="Heading2-NoCollapsing"/>
    <w:link w:val="Heading2-LandscapeChar"/>
    <w:qFormat/>
    <w:rsid w:val="00995AB3"/>
    <w:pPr>
      <w:spacing w:before="0" w:after="0"/>
    </w:pPr>
    <w:rPr>
      <w:sz w:val="24"/>
      <w:szCs w:val="24"/>
    </w:rPr>
  </w:style>
  <w:style w:type="character" w:customStyle="1" w:styleId="Heading2-NoCollapsingChar">
    <w:name w:val="Heading2-No Collapsing Char"/>
    <w:basedOn w:val="Heading2Char"/>
    <w:link w:val="Heading2-NoCollapsing"/>
    <w:rsid w:val="00FB6A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customStyle="1" w:styleId="Seperator1Line">
    <w:name w:val="Seperator1Line"/>
    <w:basedOn w:val="Seperator"/>
    <w:link w:val="Seperator1LineChar"/>
    <w:rsid w:val="00CE1375"/>
    <w:pPr>
      <w:keepNext/>
      <w:widowControl w:val="0"/>
      <w:spacing w:after="240"/>
    </w:pPr>
    <w:rPr>
      <w:sz w:val="18"/>
      <w:szCs w:val="18"/>
    </w:rPr>
  </w:style>
  <w:style w:type="character" w:customStyle="1" w:styleId="Heading2-LandscapeChar">
    <w:name w:val="Heading2-Landscape Char"/>
    <w:basedOn w:val="Heading2-NoCollapsingChar"/>
    <w:link w:val="Heading2-Landscape"/>
    <w:rsid w:val="00995AB3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customStyle="1" w:styleId="Seperator2">
    <w:name w:val="Seperator2"/>
    <w:basedOn w:val="Seperator"/>
    <w:link w:val="Seperator2Char"/>
    <w:qFormat/>
    <w:rsid w:val="003D249C"/>
    <w:pPr>
      <w:spacing w:before="720"/>
    </w:pPr>
  </w:style>
  <w:style w:type="character" w:customStyle="1" w:styleId="Seperator1LineChar">
    <w:name w:val="Seperator1Line Char"/>
    <w:basedOn w:val="SeperatorChar"/>
    <w:link w:val="Seperator1Line"/>
    <w:rsid w:val="00CE1375"/>
    <w:rPr>
      <w:i/>
      <w:iCs/>
      <w:color w:val="4472C4" w:themeColor="accent1"/>
      <w:sz w:val="18"/>
      <w:szCs w:val="18"/>
    </w:rPr>
  </w:style>
  <w:style w:type="character" w:customStyle="1" w:styleId="Seperator2Char">
    <w:name w:val="Seperator2 Char"/>
    <w:basedOn w:val="SeperatorChar"/>
    <w:link w:val="Seperator2"/>
    <w:rsid w:val="003D249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4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1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5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7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8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footer" Target="footer1.xml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hyperlink" Target="http://www.realinsurance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24F8F54BDDF4C8C75B8FE1B79D854" ma:contentTypeVersion="1" ma:contentTypeDescription="Create a new document." ma:contentTypeScope="" ma:versionID="68996cf7dac7350ac1335c82de48d555">
  <xsd:schema xmlns:xsd="http://www.w3.org/2001/XMLSchema" xmlns:xs="http://www.w3.org/2001/XMLSchema" xmlns:p="http://schemas.microsoft.com/office/2006/metadata/properties" xmlns:ns2="51564e83-6f07-454b-a194-2423ef42232f" targetNamespace="http://schemas.microsoft.com/office/2006/metadata/properties" ma:root="true" ma:fieldsID="c1b39fffb3a52ea984c3c0aeee83e183" ns2:_="">
    <xsd:import namespace="51564e83-6f07-454b-a194-2423ef4223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64e83-6f07-454b-a194-2423ef4223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1550D-50BE-46D7-9740-40F631BF2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17DA1-A1AB-441D-8F44-539AD72837A4}"/>
</file>

<file path=customXml/itemProps3.xml><?xml version="1.0" encoding="utf-8"?>
<ds:datastoreItem xmlns:ds="http://schemas.openxmlformats.org/officeDocument/2006/customXml" ds:itemID="{9453BD58-9EB2-4C52-BE6F-2D14DD0527F0}"/>
</file>

<file path=customXml/itemProps4.xml><?xml version="1.0" encoding="utf-8"?>
<ds:datastoreItem xmlns:ds="http://schemas.openxmlformats.org/officeDocument/2006/customXml" ds:itemID="{E723F148-B7EE-435D-945B-D2181D4E8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5498</Words>
  <Characters>31728</Characters>
  <Application>Microsoft Office Word</Application>
  <DocSecurity>0</DocSecurity>
  <Lines>2440</Lines>
  <Paragraphs>2068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Buse</dc:creator>
  <cp:keywords/>
  <dc:description/>
  <cp:lastModifiedBy>Paul Buse</cp:lastModifiedBy>
  <cp:revision>9</cp:revision>
  <cp:lastPrinted>2022-06-23T18:35:00Z</cp:lastPrinted>
  <dcterms:created xsi:type="dcterms:W3CDTF">2022-06-21T19:16:00Z</dcterms:created>
  <dcterms:modified xsi:type="dcterms:W3CDTF">2022-06-23T19:57:00Z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0x0101006D524F8F54BDDF4C8C75B8FE1B79D854</vt:lpwstr>
  </property>
</Properties>
</file>